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11" w:rsidRPr="00175DE4" w:rsidRDefault="009B0111" w:rsidP="009B0111">
      <w:bookmarkStart w:id="0" w:name="sub_1019"/>
      <w:r w:rsidRPr="00175DE4">
        <w:t>19. Пользование внешними световыми приборами</w:t>
      </w:r>
      <w:r w:rsidRPr="00175DE4">
        <w:br/>
        <w:t>и звуковыми сигналами</w:t>
      </w:r>
    </w:p>
    <w:bookmarkEnd w:id="0"/>
    <w:p w:rsidR="009B0111" w:rsidRPr="00175DE4" w:rsidRDefault="009B0111" w:rsidP="009B0111"/>
    <w:bookmarkStart w:id="1" w:name="sub_10191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"http://ivo.garant.ru/document?id=57985707&amp;sub=10191"</w:instrText>
      </w:r>
      <w:r w:rsidRPr="00175DE4">
        <w:fldChar w:fldCharType="separate"/>
      </w:r>
      <w:r w:rsidRPr="00175DE4">
        <w:rPr>
          <w:rStyle w:val="a4"/>
        </w:rPr>
        <w:t>19.1</w:t>
      </w:r>
      <w:r w:rsidRPr="00175DE4">
        <w:fldChar w:fldCharType="end"/>
      </w:r>
      <w:r w:rsidRPr="00175DE4">
        <w:t xml:space="preserve">. В </w:t>
      </w:r>
      <w:hyperlink w:anchor="sub_10050" w:history="1">
        <w:r w:rsidRPr="00175DE4">
          <w:rPr>
            <w:rStyle w:val="a4"/>
          </w:rPr>
          <w:t>темное время суток</w:t>
        </w:r>
      </w:hyperlink>
      <w:r w:rsidRPr="00175DE4">
        <w:t xml:space="preserve"> и в условиях </w:t>
      </w:r>
      <w:hyperlink w:anchor="sub_10024" w:history="1">
        <w:r w:rsidRPr="00175DE4">
          <w:rPr>
            <w:rStyle w:val="a4"/>
          </w:rPr>
          <w:t>недостаточной видимости</w:t>
        </w:r>
      </w:hyperlink>
      <w:r w:rsidRPr="00175DE4">
        <w:t xml:space="preserve"> независимо от освещения дороги, а также в тоннелях на движущемся транспортном средстве должны быть включены следующие световые приборы:</w:t>
      </w:r>
    </w:p>
    <w:p w:rsidR="009B0111" w:rsidRPr="00175DE4" w:rsidRDefault="009B0111" w:rsidP="009B0111">
      <w:bookmarkStart w:id="2" w:name="sub_101912"/>
      <w:bookmarkEnd w:id="1"/>
      <w:r w:rsidRPr="00175DE4">
        <w:t xml:space="preserve">на всех механических транспортных средствах - фары дальнего или ближнего света, на </w:t>
      </w:r>
      <w:hyperlink w:anchor="sub_10012" w:history="1">
        <w:r w:rsidRPr="00175DE4">
          <w:rPr>
            <w:rStyle w:val="a4"/>
          </w:rPr>
          <w:t>велосипедах</w:t>
        </w:r>
      </w:hyperlink>
      <w:r w:rsidRPr="00175DE4">
        <w:t xml:space="preserve"> - фары или фонари, на гужевых повозках - фонари (при их наличии);</w:t>
      </w:r>
    </w:p>
    <w:bookmarkEnd w:id="2"/>
    <w:p w:rsidR="009B0111" w:rsidRPr="00175DE4" w:rsidRDefault="009B0111" w:rsidP="009B0111">
      <w:r w:rsidRPr="00175DE4">
        <w:t>на прицепах и буксируемых механических транспортных средствах - габаритные огни.</w:t>
      </w:r>
    </w:p>
    <w:bookmarkStart w:id="3" w:name="sub_10192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"http://ivo.garant.ru/document?id=57985707&amp;sub=10191"</w:instrText>
      </w:r>
      <w:r w:rsidRPr="00175DE4">
        <w:fldChar w:fldCharType="separate"/>
      </w:r>
      <w:r w:rsidRPr="00175DE4">
        <w:rPr>
          <w:rStyle w:val="a4"/>
        </w:rPr>
        <w:t>19.2</w:t>
      </w:r>
      <w:r w:rsidRPr="00175DE4">
        <w:fldChar w:fldCharType="end"/>
      </w:r>
      <w:r w:rsidRPr="00175DE4">
        <w:t xml:space="preserve">. Дальний свет должен быть переключен </w:t>
      </w:r>
      <w:proofErr w:type="gramStart"/>
      <w:r w:rsidRPr="00175DE4">
        <w:t>на</w:t>
      </w:r>
      <w:proofErr w:type="gramEnd"/>
      <w:r w:rsidRPr="00175DE4">
        <w:t xml:space="preserve"> ближний:</w:t>
      </w:r>
    </w:p>
    <w:bookmarkEnd w:id="3"/>
    <w:p w:rsidR="009B0111" w:rsidRPr="00175DE4" w:rsidRDefault="009B0111" w:rsidP="009B0111">
      <w:r w:rsidRPr="00175DE4">
        <w:t>в населенных пунктах, если дорога освещена;</w:t>
      </w:r>
    </w:p>
    <w:p w:rsidR="009B0111" w:rsidRPr="00175DE4" w:rsidRDefault="009B0111" w:rsidP="009B0111">
      <w:r w:rsidRPr="00175DE4">
        <w:t>при встречном разъезде на расстоянии не менее чем за 150 м до транспортного средства, а также и при большем, если водитель встречного транспортного средства периодическим переключением света фар покажет необходимость этого;</w:t>
      </w:r>
    </w:p>
    <w:p w:rsidR="009B0111" w:rsidRPr="00175DE4" w:rsidRDefault="009B0111" w:rsidP="009B0111">
      <w:r w:rsidRPr="00175DE4">
        <w:t xml:space="preserve">в любых других случаях для исключения возможности ослепления </w:t>
      </w:r>
      <w:proofErr w:type="gramStart"/>
      <w:r w:rsidRPr="00175DE4">
        <w:t>водителей</w:t>
      </w:r>
      <w:proofErr w:type="gramEnd"/>
      <w:r w:rsidRPr="00175DE4">
        <w:t xml:space="preserve"> как встречных, так и попутных транспортных средств.</w:t>
      </w:r>
    </w:p>
    <w:p w:rsidR="009B0111" w:rsidRPr="00175DE4" w:rsidRDefault="009B0111" w:rsidP="009B0111">
      <w:bookmarkStart w:id="4" w:name="sub_19205"/>
      <w:r w:rsidRPr="00175DE4">
        <w:t>При ослеплении водитель должен включить аварийную сигнализацию и, не меняя полосу движения, снизить скорость и остановиться.</w:t>
      </w:r>
    </w:p>
    <w:bookmarkStart w:id="5" w:name="sub_10193"/>
    <w:bookmarkEnd w:id="4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"http://ivo.garant.ru/document?id=57985707&amp;sub=10191"</w:instrText>
      </w:r>
      <w:r w:rsidRPr="00175DE4">
        <w:fldChar w:fldCharType="separate"/>
      </w:r>
      <w:r w:rsidRPr="00175DE4">
        <w:rPr>
          <w:rStyle w:val="a4"/>
        </w:rPr>
        <w:t>19.3</w:t>
      </w:r>
      <w:r w:rsidRPr="00175DE4">
        <w:fldChar w:fldCharType="end"/>
      </w:r>
      <w:r w:rsidRPr="00175DE4">
        <w:t xml:space="preserve">. При остановке и стоянке в темное время суток на неосвещенных участках дорог, а также в условиях </w:t>
      </w:r>
      <w:hyperlink w:anchor="sub_10024" w:history="1">
        <w:r w:rsidRPr="00175DE4">
          <w:rPr>
            <w:rStyle w:val="a4"/>
          </w:rPr>
          <w:t>недостаточной видимости</w:t>
        </w:r>
      </w:hyperlink>
      <w:r w:rsidRPr="00175DE4">
        <w:t xml:space="preserve"> на транспортном средстве должны быть включены габаритные огни. В условиях недостаточной видимости дополнительно к габаритным огням могут быть включены фары ближнего света, противотуманные фары и задние противотуманные фонари.</w:t>
      </w:r>
    </w:p>
    <w:bookmarkEnd w:id="5"/>
    <w:p w:rsidR="009B0111" w:rsidRPr="00175DE4" w:rsidRDefault="009B0111" w:rsidP="009B0111"/>
    <w:bookmarkStart w:id="6" w:name="sub_10194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"http://ivo.garant.ru/document?id=57985707&amp;sub=10191"</w:instrText>
      </w:r>
      <w:r w:rsidRPr="00175DE4">
        <w:fldChar w:fldCharType="separate"/>
      </w:r>
      <w:r w:rsidRPr="00175DE4">
        <w:rPr>
          <w:rStyle w:val="a4"/>
        </w:rPr>
        <w:t>19.4</w:t>
      </w:r>
      <w:r w:rsidRPr="00175DE4">
        <w:fldChar w:fldCharType="end"/>
      </w:r>
      <w:r w:rsidRPr="00175DE4">
        <w:t>. Противотуманные фары могут использоваться:</w:t>
      </w:r>
    </w:p>
    <w:p w:rsidR="009B0111" w:rsidRPr="00175DE4" w:rsidRDefault="009B0111" w:rsidP="009B0111">
      <w:bookmarkStart w:id="7" w:name="sub_1019402"/>
      <w:bookmarkEnd w:id="6"/>
      <w:r w:rsidRPr="00175DE4">
        <w:t>в условиях недостаточной видимости с ближним или дальним светом фар;</w:t>
      </w:r>
    </w:p>
    <w:bookmarkEnd w:id="7"/>
    <w:p w:rsidR="009B0111" w:rsidRPr="00175DE4" w:rsidRDefault="009B0111" w:rsidP="009B0111">
      <w:r w:rsidRPr="00175DE4">
        <w:t>в темное время суток на неосвещенных участках дорог совместно с ближним или дальним светом фар;</w:t>
      </w:r>
    </w:p>
    <w:p w:rsidR="009B0111" w:rsidRPr="00175DE4" w:rsidRDefault="009B0111" w:rsidP="009B0111">
      <w:bookmarkStart w:id="8" w:name="sub_1019404"/>
      <w:r w:rsidRPr="00175DE4">
        <w:t xml:space="preserve">вместо ближнего света фар в соответствии с </w:t>
      </w:r>
      <w:hyperlink w:anchor="sub_10195" w:history="1">
        <w:r w:rsidRPr="00175DE4">
          <w:rPr>
            <w:rStyle w:val="a4"/>
          </w:rPr>
          <w:t>пунктом 19.5</w:t>
        </w:r>
      </w:hyperlink>
      <w:r w:rsidRPr="00175DE4">
        <w:t xml:space="preserve"> Правил.</w:t>
      </w:r>
    </w:p>
    <w:bookmarkEnd w:id="8"/>
    <w:p w:rsidR="009B0111" w:rsidRPr="00175DE4" w:rsidRDefault="009B0111" w:rsidP="009B0111"/>
    <w:bookmarkStart w:id="9" w:name="sub_101951"/>
    <w:bookmarkStart w:id="10" w:name="sub_10195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"http://ivo.garant.ru/document?id=57985707&amp;sub=10191"</w:instrText>
      </w:r>
      <w:r w:rsidRPr="00175DE4">
        <w:fldChar w:fldCharType="separate"/>
      </w:r>
      <w:r w:rsidRPr="00175DE4">
        <w:rPr>
          <w:rStyle w:val="a4"/>
        </w:rPr>
        <w:t>19.5</w:t>
      </w:r>
      <w:r w:rsidRPr="00175DE4">
        <w:fldChar w:fldCharType="end"/>
      </w:r>
      <w:r w:rsidRPr="00175DE4">
        <w:t>. 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bookmarkStart w:id="11" w:name="sub_196"/>
    <w:bookmarkEnd w:id="9"/>
    <w:bookmarkEnd w:id="10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"http://ivo.garant.ru/document?id=57985707&amp;sub=10191"</w:instrText>
      </w:r>
      <w:r w:rsidRPr="00175DE4">
        <w:fldChar w:fldCharType="separate"/>
      </w:r>
      <w:r w:rsidRPr="00175DE4">
        <w:rPr>
          <w:rStyle w:val="a4"/>
        </w:rPr>
        <w:t>19.6</w:t>
      </w:r>
      <w:r w:rsidRPr="00175DE4">
        <w:fldChar w:fldCharType="end"/>
      </w:r>
      <w:r w:rsidRPr="00175DE4">
        <w:t>. Фарой-прожектором и фарой-искателем разрешается пользоваться только вне населенных пунктов при отсутствии встречных транспортных средств. В населенных пунктах пользоваться такими фарами могут только водители транспортных средств, оборудованных в установленном порядке проблесковыми маячками синего цвета и специальными звуковыми сигналами, при выполнении неотложного служебного задания.</w:t>
      </w:r>
    </w:p>
    <w:bookmarkStart w:id="12" w:name="sub_10197"/>
    <w:bookmarkEnd w:id="11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"http://ivo.garant.ru/document?id=57985707&amp;sub=10191"</w:instrText>
      </w:r>
      <w:r w:rsidRPr="00175DE4">
        <w:fldChar w:fldCharType="separate"/>
      </w:r>
      <w:r w:rsidRPr="00175DE4">
        <w:rPr>
          <w:rStyle w:val="a4"/>
        </w:rPr>
        <w:t>19.7</w:t>
      </w:r>
      <w:r w:rsidRPr="00175DE4">
        <w:fldChar w:fldCharType="end"/>
      </w:r>
      <w:r w:rsidRPr="00175DE4">
        <w:t>. Задние противотуманные фонари могут применяться только в условиях недостаточной видимости. Запрещается подключать задние противотуманные фонари к стоп-сигналам.</w:t>
      </w:r>
    </w:p>
    <w:bookmarkStart w:id="13" w:name="sub_10198"/>
    <w:bookmarkEnd w:id="12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"http://ivo.garant.ru/document?id=57985707&amp;sub=10191"</w:instrText>
      </w:r>
      <w:r w:rsidRPr="00175DE4">
        <w:fldChar w:fldCharType="separate"/>
      </w:r>
      <w:r w:rsidRPr="00175DE4">
        <w:rPr>
          <w:rStyle w:val="a4"/>
        </w:rPr>
        <w:t>19.8</w:t>
      </w:r>
      <w:r w:rsidRPr="00175DE4">
        <w:fldChar w:fldCharType="end"/>
      </w:r>
      <w:r w:rsidRPr="00175DE4">
        <w:t xml:space="preserve">. Опознавательный знак "Автопоезд" должен быть включен при движении автопоезда, а в </w:t>
      </w:r>
      <w:hyperlink w:anchor="sub_10050" w:history="1">
        <w:r w:rsidRPr="00175DE4">
          <w:rPr>
            <w:rStyle w:val="a4"/>
          </w:rPr>
          <w:t>темное время суток</w:t>
        </w:r>
      </w:hyperlink>
      <w:r w:rsidRPr="00175DE4">
        <w:t xml:space="preserve"> и в условиях </w:t>
      </w:r>
      <w:hyperlink w:anchor="sub_10024" w:history="1">
        <w:r w:rsidRPr="00175DE4">
          <w:rPr>
            <w:rStyle w:val="a4"/>
          </w:rPr>
          <w:t>недостаточной видимости</w:t>
        </w:r>
      </w:hyperlink>
      <w:r w:rsidRPr="00175DE4">
        <w:t>, кроме того, и на время его остановки или стоянки.</w:t>
      </w:r>
    </w:p>
    <w:p w:rsidR="009B0111" w:rsidRPr="00175DE4" w:rsidRDefault="009B0111" w:rsidP="009B0111">
      <w:bookmarkStart w:id="14" w:name="sub_199"/>
      <w:bookmarkEnd w:id="13"/>
      <w:r w:rsidRPr="00175DE4">
        <w:t xml:space="preserve">19.9. </w:t>
      </w:r>
      <w:hyperlink r:id="rId5" w:history="1">
        <w:r w:rsidRPr="00175DE4">
          <w:rPr>
            <w:rStyle w:val="a4"/>
          </w:rPr>
          <w:t>Исключен</w:t>
        </w:r>
      </w:hyperlink>
      <w:r w:rsidRPr="00175DE4">
        <w:t xml:space="preserve"> с 1 июля 2008 г.</w:t>
      </w:r>
    </w:p>
    <w:bookmarkStart w:id="15" w:name="sub_5"/>
    <w:bookmarkEnd w:id="14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"http://ivo.garant.ru/document?id=57985707&amp;sub=10191"</w:instrText>
      </w:r>
      <w:r w:rsidRPr="00175DE4">
        <w:fldChar w:fldCharType="separate"/>
      </w:r>
      <w:r w:rsidRPr="00175DE4">
        <w:rPr>
          <w:rStyle w:val="a4"/>
        </w:rPr>
        <w:t>19.10</w:t>
      </w:r>
      <w:r w:rsidRPr="00175DE4">
        <w:fldChar w:fldCharType="end"/>
      </w:r>
      <w:r w:rsidRPr="00175DE4">
        <w:t>. Звуковые сигналы могут применяться только:</w:t>
      </w:r>
    </w:p>
    <w:bookmarkEnd w:id="15"/>
    <w:p w:rsidR="009B0111" w:rsidRPr="00175DE4" w:rsidRDefault="009B0111" w:rsidP="009B0111">
      <w:r w:rsidRPr="00175DE4">
        <w:t>для предупреждения других водителей о намерении произвести обгон вне населенных пунктов;</w:t>
      </w:r>
    </w:p>
    <w:p w:rsidR="009B0111" w:rsidRPr="00175DE4" w:rsidRDefault="009B0111" w:rsidP="009B0111">
      <w:r w:rsidRPr="00175DE4">
        <w:t xml:space="preserve">в случаях, когда это необходимо для предотвращения </w:t>
      </w:r>
      <w:hyperlink w:anchor="sub_10017" w:history="1">
        <w:r w:rsidRPr="00175DE4">
          <w:rPr>
            <w:rStyle w:val="a4"/>
          </w:rPr>
          <w:t>дорожно-транспортного происшествия.</w:t>
        </w:r>
      </w:hyperlink>
    </w:p>
    <w:p w:rsidR="009B0111" w:rsidRPr="00175DE4" w:rsidRDefault="009B0111" w:rsidP="009B0111"/>
    <w:bookmarkStart w:id="16" w:name="sub_1911"/>
    <w:p w:rsidR="009B0111" w:rsidRPr="00175DE4" w:rsidRDefault="009B0111" w:rsidP="009B0111">
      <w:r w:rsidRPr="00175DE4">
        <w:lastRenderedPageBreak/>
        <w:fldChar w:fldCharType="begin"/>
      </w:r>
      <w:r w:rsidRPr="00175DE4">
        <w:instrText>HYPERLINK "http://ivo.garant.ru/document?id=57985707&amp;sub=10191"</w:instrText>
      </w:r>
      <w:r w:rsidRPr="00175DE4">
        <w:fldChar w:fldCharType="separate"/>
      </w:r>
      <w:r w:rsidRPr="00175DE4">
        <w:rPr>
          <w:rStyle w:val="a4"/>
        </w:rPr>
        <w:t>19.11</w:t>
      </w:r>
      <w:r w:rsidRPr="00175DE4">
        <w:fldChar w:fldCharType="end"/>
      </w:r>
      <w:r w:rsidRPr="00175DE4">
        <w:t xml:space="preserve">. Для предупреждения об обгоне вместо звукового сигнала или совместно с ним может подаваться световой сигнал, представляющий собой кратковременное переключение фар </w:t>
      </w:r>
      <w:proofErr w:type="gramStart"/>
      <w:r w:rsidRPr="00175DE4">
        <w:t>с</w:t>
      </w:r>
      <w:proofErr w:type="gramEnd"/>
      <w:r w:rsidRPr="00175DE4">
        <w:t xml:space="preserve"> ближнего на дальний свет.</w:t>
      </w:r>
    </w:p>
    <w:bookmarkEnd w:id="16"/>
    <w:p w:rsidR="009B0111" w:rsidRPr="00175DE4" w:rsidRDefault="009B0111" w:rsidP="009B0111"/>
    <w:p w:rsidR="009B0111" w:rsidRPr="00175DE4" w:rsidRDefault="009B0111" w:rsidP="009B0111">
      <w:bookmarkStart w:id="17" w:name="sub_1020"/>
      <w:r w:rsidRPr="00175DE4">
        <w:t>20. Буксировка механических транспортных средств</w:t>
      </w:r>
    </w:p>
    <w:bookmarkEnd w:id="17"/>
    <w:p w:rsidR="009B0111" w:rsidRPr="00175DE4" w:rsidRDefault="009B0111" w:rsidP="009B0111"/>
    <w:bookmarkStart w:id="18" w:name="sub_250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"http://ivo.garant.ru/document?id=57985707&amp;sub=250"</w:instrText>
      </w:r>
      <w:r w:rsidRPr="00175DE4">
        <w:fldChar w:fldCharType="separate"/>
      </w:r>
      <w:r w:rsidRPr="00175DE4">
        <w:rPr>
          <w:rStyle w:val="a4"/>
        </w:rPr>
        <w:t>20.1</w:t>
      </w:r>
      <w:r w:rsidRPr="00175DE4">
        <w:fldChar w:fldCharType="end"/>
      </w:r>
      <w:r w:rsidRPr="00175DE4">
        <w:t xml:space="preserve">. Буксировка на жесткой или гибкой сцепке должна осуществляться только при наличии </w:t>
      </w:r>
      <w:hyperlink w:anchor="sub_10013" w:history="1">
        <w:r w:rsidRPr="00175DE4">
          <w:rPr>
            <w:rStyle w:val="a4"/>
          </w:rPr>
          <w:t>водителя</w:t>
        </w:r>
      </w:hyperlink>
      <w:r w:rsidRPr="00175DE4">
        <w:t xml:space="preserve"> за рулем буксируемого транспортного средства, кроме случаев, когда конструкция жесткой сцепки обеспечивает при прямолинейном движении следование буксируемого транспортного средства по траектории буксирующего.</w:t>
      </w:r>
    </w:p>
    <w:bookmarkStart w:id="19" w:name="sub_260"/>
    <w:bookmarkEnd w:id="18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"http://ivo.garant.ru/document?id=57985707&amp;sub=250"</w:instrText>
      </w:r>
      <w:r w:rsidRPr="00175DE4">
        <w:fldChar w:fldCharType="separate"/>
      </w:r>
      <w:r w:rsidRPr="00175DE4">
        <w:rPr>
          <w:rStyle w:val="a4"/>
        </w:rPr>
        <w:t>20.2</w:t>
      </w:r>
      <w:r w:rsidRPr="00175DE4">
        <w:fldChar w:fldCharType="end"/>
      </w:r>
      <w:r w:rsidRPr="00175DE4">
        <w:t>. При буксировке на гибкой или жесткой сцепке запрещается перевозка людей в буксируемом автобусе, троллейбусе и в кузове буксируемого грузового автомобиля, а при буксировке путем частичной погрузки - нахождение людей в кабине или кузове буксируемого транспортного средства, а также в кузове буксирующего.</w:t>
      </w:r>
    </w:p>
    <w:p w:rsidR="009B0111" w:rsidRPr="00175DE4" w:rsidRDefault="009B0111" w:rsidP="009B0111">
      <w:bookmarkStart w:id="20" w:name="sub_102021"/>
      <w:bookmarkEnd w:id="19"/>
      <w:r w:rsidRPr="00175DE4">
        <w:t>20.2.1. При буксировке управление буксирующими транспортными средствами должно осуществляться водителями, имеющими право на управление транспортными средствами в течение 2 и более лет.</w:t>
      </w:r>
    </w:p>
    <w:bookmarkStart w:id="21" w:name="sub_10203"/>
    <w:bookmarkEnd w:id="20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"http://ivo.garant.ru/document?id=57985707&amp;sub=250"</w:instrText>
      </w:r>
      <w:r w:rsidRPr="00175DE4">
        <w:fldChar w:fldCharType="separate"/>
      </w:r>
      <w:r w:rsidRPr="00175DE4">
        <w:rPr>
          <w:rStyle w:val="a4"/>
        </w:rPr>
        <w:t>20.3</w:t>
      </w:r>
      <w:r w:rsidRPr="00175DE4">
        <w:fldChar w:fldCharType="end"/>
      </w:r>
      <w:r w:rsidRPr="00175DE4">
        <w:t>. При буксировке на гибкой сцепке должно быть обеспечено расстояние между буксирующим и буксируемым транспортными средствами в пределах 4-6 м, а при буксировке на жесткой сцепке - не более 4 м.</w:t>
      </w:r>
    </w:p>
    <w:bookmarkEnd w:id="21"/>
    <w:p w:rsidR="009B0111" w:rsidRPr="00175DE4" w:rsidRDefault="009B0111" w:rsidP="009B0111">
      <w:r w:rsidRPr="00175DE4">
        <w:t xml:space="preserve">Гибкое связующее звено должно быть обозначено в соответствии с </w:t>
      </w:r>
      <w:hyperlink w:anchor="sub_2009" w:history="1">
        <w:r w:rsidRPr="00175DE4">
          <w:rPr>
            <w:rStyle w:val="a4"/>
          </w:rPr>
          <w:t>пунктом 9</w:t>
        </w:r>
      </w:hyperlink>
      <w:r w:rsidRPr="00175DE4">
        <w:t xml:space="preserve"> Основных положений.</w:t>
      </w:r>
    </w:p>
    <w:bookmarkStart w:id="22" w:name="sub_100204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"http://ivo.garant.ru/document?id=57985707&amp;sub=250"</w:instrText>
      </w:r>
      <w:r w:rsidRPr="00175DE4">
        <w:fldChar w:fldCharType="separate"/>
      </w:r>
      <w:r w:rsidRPr="00175DE4">
        <w:rPr>
          <w:rStyle w:val="a4"/>
        </w:rPr>
        <w:t>20.4</w:t>
      </w:r>
      <w:r w:rsidRPr="00175DE4">
        <w:fldChar w:fldCharType="end"/>
      </w:r>
      <w:r w:rsidRPr="00175DE4">
        <w:t>. Буксировка запрещается:</w:t>
      </w:r>
    </w:p>
    <w:bookmarkEnd w:id="22"/>
    <w:p w:rsidR="009B0111" w:rsidRPr="00175DE4" w:rsidRDefault="009B0111" w:rsidP="009B0111">
      <w:r w:rsidRPr="00175DE4">
        <w:t xml:space="preserve">транспортных средств, у которых не действует рулевое управление </w:t>
      </w:r>
      <w:hyperlink w:anchor="sub_11109" w:history="1">
        <w:r w:rsidRPr="00175DE4">
          <w:rPr>
            <w:rStyle w:val="a4"/>
          </w:rPr>
          <w:t>*(9)</w:t>
        </w:r>
      </w:hyperlink>
      <w:r w:rsidRPr="00175DE4">
        <w:t xml:space="preserve"> (допускается буксировка методом частичной погрузки);</w:t>
      </w:r>
    </w:p>
    <w:p w:rsidR="009B0111" w:rsidRPr="00175DE4" w:rsidRDefault="009B0111" w:rsidP="009B0111">
      <w:r w:rsidRPr="00175DE4">
        <w:t>двух и более транспортных средств;</w:t>
      </w:r>
    </w:p>
    <w:p w:rsidR="009B0111" w:rsidRPr="00175DE4" w:rsidRDefault="009B0111" w:rsidP="009B0111">
      <w:r w:rsidRPr="00175DE4">
        <w:t xml:space="preserve">транспортных средств с недействующей тормозной системой </w:t>
      </w:r>
      <w:hyperlink w:anchor="sub_11109" w:history="1">
        <w:r w:rsidRPr="00175DE4">
          <w:rPr>
            <w:rStyle w:val="a4"/>
          </w:rPr>
          <w:t>*(9)</w:t>
        </w:r>
      </w:hyperlink>
      <w:r w:rsidRPr="00175DE4">
        <w:t>, если их фактическая масса более половины фактической массы буксирующего транспортного средства. При меньшей фактической массе буксировка таких транспортных средств допускается только на жесткой сцепке или методом частичной погрузки;</w:t>
      </w:r>
    </w:p>
    <w:p w:rsidR="009B0111" w:rsidRPr="00175DE4" w:rsidRDefault="009B0111" w:rsidP="009B0111">
      <w:bookmarkStart w:id="23" w:name="sub_1002045"/>
      <w:r w:rsidRPr="00175DE4">
        <w:t>двухколесными мотоциклами без бокового прицепа, а также таких мотоциклов;</w:t>
      </w:r>
    </w:p>
    <w:bookmarkEnd w:id="23"/>
    <w:p w:rsidR="009B0111" w:rsidRPr="00175DE4" w:rsidRDefault="009B0111" w:rsidP="009B0111">
      <w:r w:rsidRPr="00175DE4">
        <w:t>в гололедицу на гибкой сцепке.</w:t>
      </w:r>
    </w:p>
    <w:p w:rsidR="009B0111" w:rsidRPr="00175DE4" w:rsidRDefault="009B0111" w:rsidP="009B0111"/>
    <w:p w:rsidR="009B0111" w:rsidRPr="00175DE4" w:rsidRDefault="009B0111" w:rsidP="009B0111">
      <w:bookmarkStart w:id="24" w:name="sub_1021"/>
      <w:r w:rsidRPr="00175DE4">
        <w:t>21. Учебная езда</w:t>
      </w:r>
    </w:p>
    <w:bookmarkEnd w:id="24"/>
    <w:p w:rsidR="009B0111" w:rsidRPr="00175DE4" w:rsidRDefault="009B0111" w:rsidP="009B0111"/>
    <w:bookmarkStart w:id="25" w:name="sub_270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"http://ivo.garant.ru/document?id=57985707&amp;sub=270"</w:instrText>
      </w:r>
      <w:r w:rsidRPr="00175DE4">
        <w:fldChar w:fldCharType="separate"/>
      </w:r>
      <w:r w:rsidRPr="00175DE4">
        <w:rPr>
          <w:rStyle w:val="a4"/>
        </w:rPr>
        <w:t>21.1</w:t>
      </w:r>
      <w:r w:rsidRPr="00175DE4">
        <w:fldChar w:fldCharType="end"/>
      </w:r>
      <w:r w:rsidRPr="00175DE4">
        <w:t>. Первоначальное обучение вождению транспортных средств должно проводиться на закрытых площадках или автодромах.</w:t>
      </w:r>
    </w:p>
    <w:bookmarkStart w:id="26" w:name="sub_37"/>
    <w:bookmarkEnd w:id="25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"http://ivo.garant.ru/document?id=57985707&amp;sub=270"</w:instrText>
      </w:r>
      <w:r w:rsidRPr="00175DE4">
        <w:fldChar w:fldCharType="separate"/>
      </w:r>
      <w:r w:rsidRPr="00175DE4">
        <w:rPr>
          <w:rStyle w:val="a4"/>
        </w:rPr>
        <w:t>21.2</w:t>
      </w:r>
      <w:r w:rsidRPr="00175DE4">
        <w:fldChar w:fldCharType="end"/>
      </w:r>
      <w:r w:rsidRPr="00175DE4">
        <w:t xml:space="preserve">. Учебная езда на дорогах допускается только с </w:t>
      </w:r>
      <w:proofErr w:type="gramStart"/>
      <w:r w:rsidRPr="00175DE4">
        <w:t>обучающим</w:t>
      </w:r>
      <w:proofErr w:type="gramEnd"/>
      <w:r w:rsidRPr="00175DE4">
        <w:t xml:space="preserve"> и при наличии первоначальных навыков управления у обучаемого. </w:t>
      </w:r>
      <w:proofErr w:type="gramStart"/>
      <w:r w:rsidRPr="00175DE4">
        <w:t>Обучаемый</w:t>
      </w:r>
      <w:proofErr w:type="gramEnd"/>
      <w:r w:rsidRPr="00175DE4">
        <w:t xml:space="preserve"> обязан знать и выполнять требования Правил.</w:t>
      </w:r>
    </w:p>
    <w:bookmarkStart w:id="27" w:name="sub_213"/>
    <w:bookmarkEnd w:id="26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"http://ivo.garant.ru/document?id=57985707&amp;sub=270"</w:instrText>
      </w:r>
      <w:r w:rsidRPr="00175DE4">
        <w:fldChar w:fldCharType="separate"/>
      </w:r>
      <w:r w:rsidRPr="00175DE4">
        <w:rPr>
          <w:rStyle w:val="a4"/>
        </w:rPr>
        <w:t>21.3</w:t>
      </w:r>
      <w:r w:rsidRPr="00175DE4">
        <w:fldChar w:fldCharType="end"/>
      </w:r>
      <w:r w:rsidRPr="00175DE4">
        <w:t>. Обучающий должен иметь при себе документ на право обучения вождению транспортного средства данной категории или подкатегории, а также удостоверение на право управления транспортным средством соответствующей категории или подкатегории.</w:t>
      </w:r>
    </w:p>
    <w:bookmarkStart w:id="28" w:name="sub_214"/>
    <w:bookmarkEnd w:id="27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"http://ivo.garant.ru/document?id=57985707&amp;sub=270"</w:instrText>
      </w:r>
      <w:r w:rsidRPr="00175DE4">
        <w:fldChar w:fldCharType="separate"/>
      </w:r>
      <w:r w:rsidRPr="00175DE4">
        <w:rPr>
          <w:rStyle w:val="a4"/>
        </w:rPr>
        <w:t>21.4</w:t>
      </w:r>
      <w:r w:rsidRPr="00175DE4">
        <w:fldChar w:fldCharType="end"/>
      </w:r>
      <w:r w:rsidRPr="00175DE4">
        <w:t xml:space="preserve">. </w:t>
      </w:r>
      <w:proofErr w:type="gramStart"/>
      <w:r w:rsidRPr="00175DE4">
        <w:t>Обучаемому</w:t>
      </w:r>
      <w:proofErr w:type="gramEnd"/>
      <w:r w:rsidRPr="00175DE4">
        <w:t xml:space="preserve"> на автомобиле или мотоцикле должно быть не менее 16 лет.</w:t>
      </w:r>
    </w:p>
    <w:bookmarkStart w:id="29" w:name="sub_215"/>
    <w:bookmarkEnd w:id="28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"http://ivo.garant.ru/document?id=57985707&amp;sub=270"</w:instrText>
      </w:r>
      <w:r w:rsidRPr="00175DE4">
        <w:fldChar w:fldCharType="separate"/>
      </w:r>
      <w:r w:rsidRPr="00175DE4">
        <w:rPr>
          <w:rStyle w:val="a4"/>
        </w:rPr>
        <w:t>21.5</w:t>
      </w:r>
      <w:r w:rsidRPr="00175DE4">
        <w:fldChar w:fldCharType="end"/>
      </w:r>
      <w:r w:rsidRPr="00175DE4">
        <w:t xml:space="preserve">. Механическое транспортное средство, на котором проводится обучение, должно быть оборудовано в соответствии с </w:t>
      </w:r>
      <w:hyperlink w:anchor="sub_2005" w:history="1">
        <w:r w:rsidRPr="00175DE4">
          <w:rPr>
            <w:rStyle w:val="a4"/>
          </w:rPr>
          <w:t>пунктом 5</w:t>
        </w:r>
      </w:hyperlink>
      <w:r w:rsidRPr="00175DE4">
        <w:t xml:space="preserve"> Основных положений и иметь опознавательные знаки "Учебное транспортное средство".</w:t>
      </w:r>
    </w:p>
    <w:bookmarkStart w:id="30" w:name="sub_216"/>
    <w:bookmarkEnd w:id="29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"http://ivo.garant.ru/document?id=57985707&amp;sub=270"</w:instrText>
      </w:r>
      <w:r w:rsidRPr="00175DE4">
        <w:fldChar w:fldCharType="separate"/>
      </w:r>
      <w:r w:rsidRPr="00175DE4">
        <w:rPr>
          <w:rStyle w:val="a4"/>
        </w:rPr>
        <w:t>21.6</w:t>
      </w:r>
      <w:r w:rsidRPr="00175DE4">
        <w:fldChar w:fldCharType="end"/>
      </w:r>
      <w:r w:rsidRPr="00175DE4">
        <w:t>. Запрещается учебная езда на дорогах, перечень которых объявляется в установленном порядке.</w:t>
      </w:r>
    </w:p>
    <w:bookmarkEnd w:id="30"/>
    <w:p w:rsidR="009B0111" w:rsidRPr="00175DE4" w:rsidRDefault="009B0111" w:rsidP="009B0111"/>
    <w:p w:rsidR="009B0111" w:rsidRPr="00175DE4" w:rsidRDefault="009B0111" w:rsidP="009B0111">
      <w:bookmarkStart w:id="31" w:name="sub_1022"/>
      <w:r w:rsidRPr="00175DE4">
        <w:t>22. Перевозка людей</w:t>
      </w:r>
    </w:p>
    <w:bookmarkEnd w:id="31"/>
    <w:p w:rsidR="009B0111" w:rsidRPr="00175DE4" w:rsidRDefault="009B0111" w:rsidP="009B0111"/>
    <w:bookmarkStart w:id="32" w:name="sub_221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"http://ivo.garant.ru/document?id=57985707&amp;sub=221"</w:instrText>
      </w:r>
      <w:r w:rsidRPr="00175DE4">
        <w:fldChar w:fldCharType="separate"/>
      </w:r>
      <w:r w:rsidRPr="00175DE4">
        <w:rPr>
          <w:rStyle w:val="a4"/>
        </w:rPr>
        <w:t>22.1.</w:t>
      </w:r>
      <w:r w:rsidRPr="00175DE4">
        <w:fldChar w:fldCharType="end"/>
      </w:r>
      <w:r w:rsidRPr="00175DE4">
        <w:t xml:space="preserve"> Перевозка людей в кузове грузового автомобиля должна осуществляться водителями, имеющими водительское удостоверение на право управления транспортным средством категории "С" или подкатегории "С</w:t>
      </w:r>
      <w:proofErr w:type="gramStart"/>
      <w:r w:rsidRPr="00175DE4">
        <w:t>1</w:t>
      </w:r>
      <w:proofErr w:type="gramEnd"/>
      <w:r w:rsidRPr="00175DE4">
        <w:t>" в течение 3 и более лет.</w:t>
      </w:r>
    </w:p>
    <w:bookmarkEnd w:id="32"/>
    <w:p w:rsidR="009B0111" w:rsidRPr="00175DE4" w:rsidRDefault="009B0111" w:rsidP="009B0111">
      <w:proofErr w:type="gramStart"/>
      <w:r w:rsidRPr="00175DE4">
        <w:t>В случае перевозки людей в кузове грузового автомобиля в количестве более 8, но не более 16 человек, включая пассажиров в кабине, требуется также наличие в водительском удостоверении разрешающей отметки, подтверждающей наличие права управления транспортным средством категории "D" или подкатегории "D1", в случае перевозки более 16 человек, включая пассажиров в кабине, - категории "D".</w:t>
      </w:r>
      <w:proofErr w:type="gramEnd"/>
    </w:p>
    <w:p w:rsidR="009B0111" w:rsidRPr="00175DE4" w:rsidRDefault="009B0111" w:rsidP="009B0111">
      <w:r w:rsidRPr="00175DE4">
        <w:rPr>
          <w:rStyle w:val="a3"/>
          <w:bCs/>
          <w:color w:val="auto"/>
        </w:rPr>
        <w:t>Примечание.</w:t>
      </w:r>
      <w:r w:rsidRPr="00175DE4">
        <w:t xml:space="preserve"> Допуск военных водителей к перевозке людей на грузовых автомобилях осуществляется в установленном порядке.</w:t>
      </w:r>
    </w:p>
    <w:p w:rsidR="009B0111" w:rsidRPr="00175DE4" w:rsidRDefault="009B0111" w:rsidP="009B0111"/>
    <w:bookmarkStart w:id="33" w:name="sub_38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"http://ivo.garant.ru/document?id=57985707&amp;sub=221"</w:instrText>
      </w:r>
      <w:r w:rsidRPr="00175DE4">
        <w:fldChar w:fldCharType="separate"/>
      </w:r>
      <w:r w:rsidRPr="00175DE4">
        <w:rPr>
          <w:rStyle w:val="a4"/>
        </w:rPr>
        <w:t>22.2</w:t>
      </w:r>
      <w:r w:rsidRPr="00175DE4">
        <w:fldChar w:fldCharType="end"/>
      </w:r>
      <w:r w:rsidRPr="00175DE4">
        <w:t xml:space="preserve">. Перевозка людей в кузове грузового автомобиля с бортовой платформой разрешается, если он оборудован в соответствии с </w:t>
      </w:r>
      <w:hyperlink w:anchor="sub_2004" w:history="1">
        <w:r w:rsidRPr="00175DE4">
          <w:rPr>
            <w:rStyle w:val="a4"/>
          </w:rPr>
          <w:t>Основными положениями</w:t>
        </w:r>
      </w:hyperlink>
      <w:r w:rsidRPr="00175DE4">
        <w:t>, при этом перевозка детей не допускается.</w:t>
      </w:r>
    </w:p>
    <w:p w:rsidR="009B0111" w:rsidRPr="00175DE4" w:rsidRDefault="009B0111" w:rsidP="009B0111">
      <w:bookmarkStart w:id="34" w:name="sub_102221"/>
      <w:bookmarkEnd w:id="33"/>
      <w:r w:rsidRPr="00175DE4">
        <w:t>22.2.1. Перевозка людей на мотоцикле должна осуществляться водителем, имеющим водительское удостоверение на право управления транспортными средствами категории "А" или подкатегории "А</w:t>
      </w:r>
      <w:proofErr w:type="gramStart"/>
      <w:r w:rsidRPr="00175DE4">
        <w:t>1</w:t>
      </w:r>
      <w:proofErr w:type="gramEnd"/>
      <w:r w:rsidRPr="00175DE4">
        <w:t>" в течение 2 и более лет, перевозка людей на мопеде должна осуществляться водителем, имеющим водительское удостоверение на право управления транспортными средствами любой категории или подкатегории в течение 2 и более лет.</w:t>
      </w:r>
    </w:p>
    <w:bookmarkStart w:id="35" w:name="sub_223"/>
    <w:bookmarkEnd w:id="34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"http://ivo.garant.ru/document?id=57985707&amp;sub=221"</w:instrText>
      </w:r>
      <w:r w:rsidRPr="00175DE4">
        <w:fldChar w:fldCharType="separate"/>
      </w:r>
      <w:r w:rsidRPr="00175DE4">
        <w:rPr>
          <w:rStyle w:val="a4"/>
        </w:rPr>
        <w:t>22.3</w:t>
      </w:r>
      <w:r w:rsidRPr="00175DE4">
        <w:fldChar w:fldCharType="end"/>
      </w:r>
      <w:r w:rsidRPr="00175DE4">
        <w:t>. Число перевозимых людей в кузове грузового автомобиля, а также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оборудованных для сидения мест.</w:t>
      </w:r>
    </w:p>
    <w:bookmarkStart w:id="36" w:name="sub_39"/>
    <w:bookmarkEnd w:id="35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"http://ivo.garant.ru/document?id=57985707&amp;sub=221"</w:instrText>
      </w:r>
      <w:r w:rsidRPr="00175DE4">
        <w:fldChar w:fldCharType="separate"/>
      </w:r>
      <w:r w:rsidRPr="00175DE4">
        <w:rPr>
          <w:rStyle w:val="a4"/>
        </w:rPr>
        <w:t>22.4</w:t>
      </w:r>
      <w:r w:rsidRPr="00175DE4">
        <w:fldChar w:fldCharType="end"/>
      </w:r>
      <w:r w:rsidRPr="00175DE4">
        <w:t>. Перед поездкой водитель грузового автомобиля должен проинструктировать пассажиров о порядке посадки, высадки и размещения в кузове.</w:t>
      </w:r>
    </w:p>
    <w:bookmarkEnd w:id="36"/>
    <w:p w:rsidR="009B0111" w:rsidRPr="00175DE4" w:rsidRDefault="009B0111" w:rsidP="009B0111">
      <w:r w:rsidRPr="00175DE4">
        <w:t xml:space="preserve">Начинать </w:t>
      </w:r>
      <w:proofErr w:type="gramStart"/>
      <w:r w:rsidRPr="00175DE4">
        <w:t>движение можно только убедившись</w:t>
      </w:r>
      <w:proofErr w:type="gramEnd"/>
      <w:r w:rsidRPr="00175DE4">
        <w:t>, что условия безопасной перевозки пассажиров обеспечены.</w:t>
      </w:r>
    </w:p>
    <w:bookmarkStart w:id="37" w:name="sub_225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"http://ivo.garant.ru/document?id=57985707&amp;sub=221"</w:instrText>
      </w:r>
      <w:r w:rsidRPr="00175DE4">
        <w:fldChar w:fldCharType="separate"/>
      </w:r>
      <w:r w:rsidRPr="00175DE4">
        <w:rPr>
          <w:rStyle w:val="a4"/>
        </w:rPr>
        <w:t>22.5</w:t>
      </w:r>
      <w:r w:rsidRPr="00175DE4">
        <w:fldChar w:fldCharType="end"/>
      </w:r>
      <w:r w:rsidRPr="00175DE4">
        <w:t>. Проезд в кузове грузового автомобиля с бортовой платформой, не оборудованной для перевозки людей, разрешается только лицам, сопровождающим груз или следующим за его получением, при условии, что они обеспечены местом для сидения, расположенным ниже уровня бортов.</w:t>
      </w:r>
    </w:p>
    <w:bookmarkStart w:id="38" w:name="sub_226"/>
    <w:bookmarkEnd w:id="37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"http://ivo.garant.ru/document?id=57985707&amp;sub=221"</w:instrText>
      </w:r>
      <w:r w:rsidRPr="00175DE4">
        <w:fldChar w:fldCharType="separate"/>
      </w:r>
      <w:r w:rsidRPr="00175DE4">
        <w:rPr>
          <w:rStyle w:val="a4"/>
        </w:rPr>
        <w:t>22.6</w:t>
      </w:r>
      <w:r w:rsidRPr="00175DE4">
        <w:fldChar w:fldCharType="end"/>
      </w:r>
      <w:r w:rsidRPr="00175DE4">
        <w:t xml:space="preserve">. Организованная перевозка группы детей должна осуществляться в соответствии с настоящими Правилами, а также </w:t>
      </w:r>
      <w:hyperlink r:id="rId6" w:history="1">
        <w:r w:rsidRPr="00175DE4">
          <w:rPr>
            <w:rStyle w:val="a4"/>
          </w:rPr>
          <w:t>правилами</w:t>
        </w:r>
      </w:hyperlink>
      <w:r w:rsidRPr="00175DE4">
        <w:t xml:space="preserve">, утверждаемыми Правительством Российской Федерации, в автобусе, обозначенном опознавательными </w:t>
      </w:r>
      <w:hyperlink w:anchor="sub_20083" w:history="1">
        <w:r w:rsidRPr="00175DE4">
          <w:rPr>
            <w:rStyle w:val="a4"/>
          </w:rPr>
          <w:t>знаками</w:t>
        </w:r>
      </w:hyperlink>
      <w:r w:rsidRPr="00175DE4">
        <w:t xml:space="preserve"> "Перевозка детей".</w:t>
      </w:r>
    </w:p>
    <w:bookmarkStart w:id="39" w:name="sub_227"/>
    <w:bookmarkEnd w:id="38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"http://ivo.garant.ru/document?id=57985707&amp;sub=221"</w:instrText>
      </w:r>
      <w:r w:rsidRPr="00175DE4">
        <w:fldChar w:fldCharType="separate"/>
      </w:r>
      <w:r w:rsidRPr="00175DE4">
        <w:rPr>
          <w:rStyle w:val="a4"/>
        </w:rPr>
        <w:t>22.7</w:t>
      </w:r>
      <w:r w:rsidRPr="00175DE4">
        <w:fldChar w:fldCharType="end"/>
      </w:r>
      <w:r w:rsidRPr="00175DE4">
        <w:t>.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bookmarkStart w:id="40" w:name="sub_228"/>
    <w:bookmarkEnd w:id="39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"http://ivo.garant.ru/document?id=57985707&amp;sub=221"</w:instrText>
      </w:r>
      <w:r w:rsidRPr="00175DE4">
        <w:fldChar w:fldCharType="separate"/>
      </w:r>
      <w:r w:rsidRPr="00175DE4">
        <w:rPr>
          <w:rStyle w:val="a4"/>
        </w:rPr>
        <w:t>22.8</w:t>
      </w:r>
      <w:r w:rsidRPr="00175DE4">
        <w:fldChar w:fldCharType="end"/>
      </w:r>
      <w:r w:rsidRPr="00175DE4">
        <w:t>. Запрещается перевозить людей:</w:t>
      </w:r>
    </w:p>
    <w:bookmarkEnd w:id="40"/>
    <w:p w:rsidR="009B0111" w:rsidRPr="00175DE4" w:rsidRDefault="009B0111" w:rsidP="009B0111">
      <w:proofErr w:type="gramStart"/>
      <w:r w:rsidRPr="00175DE4">
        <w:t>вне кабины автомобиля (кроме случаев перевозки людей в кузове грузового автомобиля с бортовой платформой или в кузове-фургоне), трактора, других самоходных машин, на грузовом прицепе, в прицепе-даче, в кузове грузового мотоцикла и вне предусмотренных конструкцией мотоцикла мест для сидения;</w:t>
      </w:r>
      <w:proofErr w:type="gramEnd"/>
    </w:p>
    <w:p w:rsidR="009B0111" w:rsidRPr="00175DE4" w:rsidRDefault="009B0111" w:rsidP="009B0111">
      <w:bookmarkStart w:id="41" w:name="sub_22803"/>
      <w:r w:rsidRPr="00175DE4">
        <w:t>сверх количества, предусмотренного технической характеристикой транспортного средства.</w:t>
      </w:r>
    </w:p>
    <w:bookmarkEnd w:id="41"/>
    <w:p w:rsidR="009B0111" w:rsidRPr="00175DE4" w:rsidRDefault="009B0111" w:rsidP="009B0111"/>
    <w:bookmarkStart w:id="42" w:name="sub_229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"http://ivo.garant.ru/document?id=57985707&amp;sub=221"</w:instrText>
      </w:r>
      <w:r w:rsidRPr="00175DE4">
        <w:fldChar w:fldCharType="separate"/>
      </w:r>
      <w:r w:rsidRPr="00175DE4">
        <w:rPr>
          <w:rStyle w:val="a4"/>
        </w:rPr>
        <w:t>22.9</w:t>
      </w:r>
      <w:r w:rsidRPr="00175DE4">
        <w:fldChar w:fldCharType="end"/>
      </w:r>
      <w:r w:rsidRPr="00175DE4">
        <w:t>. 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hyperlink w:anchor="sub_9910" w:history="1">
        <w:r w:rsidRPr="00175DE4">
          <w:rPr>
            <w:rStyle w:val="a4"/>
          </w:rPr>
          <w:t>*</w:t>
        </w:r>
      </w:hyperlink>
      <w:r w:rsidRPr="00175DE4">
        <w:t xml:space="preserve">, должна осуществляться с использованием детских удерживающих систем (устройств), соответствующих весу и </w:t>
      </w:r>
      <w:r w:rsidRPr="00175DE4">
        <w:lastRenderedPageBreak/>
        <w:t>росту ребенка</w:t>
      </w:r>
    </w:p>
    <w:bookmarkEnd w:id="42"/>
    <w:p w:rsidR="009B0111" w:rsidRPr="00175DE4" w:rsidRDefault="009B0111" w:rsidP="009B0111">
      <w:r w:rsidRPr="00175DE4">
        <w:t>______________________</w:t>
      </w:r>
    </w:p>
    <w:p w:rsidR="009B0111" w:rsidRPr="00175DE4" w:rsidRDefault="009B0111" w:rsidP="009B0111">
      <w:bookmarkStart w:id="43" w:name="sub_9910"/>
      <w:r w:rsidRPr="00175DE4">
        <w:t xml:space="preserve">* Наименование детской удерживающей системы ISOFIX приведено в соответствии с </w:t>
      </w:r>
      <w:hyperlink r:id="rId7" w:history="1">
        <w:r w:rsidRPr="00175DE4">
          <w:rPr>
            <w:rStyle w:val="a4"/>
          </w:rPr>
          <w:t>Техническим регламентом</w:t>
        </w:r>
      </w:hyperlink>
      <w:r w:rsidRPr="00175DE4">
        <w:t xml:space="preserve"> Таможенного союза </w:t>
      </w:r>
      <w:proofErr w:type="gramStart"/>
      <w:r w:rsidRPr="00175DE4">
        <w:t>ТР</w:t>
      </w:r>
      <w:proofErr w:type="gramEnd"/>
      <w:r w:rsidRPr="00175DE4">
        <w:t xml:space="preserve"> PС 018/2011 "О безопасности колесных транспортных средств".</w:t>
      </w:r>
    </w:p>
    <w:bookmarkEnd w:id="43"/>
    <w:p w:rsidR="009B0111" w:rsidRPr="00175DE4" w:rsidRDefault="009B0111" w:rsidP="009B0111"/>
    <w:p w:rsidR="009B0111" w:rsidRPr="00175DE4" w:rsidRDefault="009B0111" w:rsidP="009B0111">
      <w:bookmarkStart w:id="44" w:name="sub_22902"/>
      <w:proofErr w:type="gramStart"/>
      <w:r w:rsidRPr="00175DE4"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175DE4">
        <w:t xml:space="preserve"> (устройств), соответствующих весу и росту ребенка.</w:t>
      </w:r>
    </w:p>
    <w:bookmarkEnd w:id="44"/>
    <w:p w:rsidR="009B0111" w:rsidRPr="00175DE4" w:rsidRDefault="009B0111" w:rsidP="009B0111">
      <w:r w:rsidRPr="00175DE4"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9B0111" w:rsidRPr="00175DE4" w:rsidRDefault="009B0111" w:rsidP="009B0111">
      <w:r w:rsidRPr="00175DE4">
        <w:t>Запрещается перевозить детей в возрасте младше 12 лет на заднем сиденье мотоцикла.</w:t>
      </w:r>
    </w:p>
    <w:p w:rsidR="009B0111" w:rsidRPr="00175DE4" w:rsidRDefault="009B0111" w:rsidP="009B0111"/>
    <w:p w:rsidR="009B0111" w:rsidRPr="00175DE4" w:rsidRDefault="009B0111" w:rsidP="009B0111">
      <w:bookmarkStart w:id="45" w:name="sub_1023"/>
      <w:r w:rsidRPr="00175DE4">
        <w:t>23. Перевозка грузов</w:t>
      </w:r>
    </w:p>
    <w:bookmarkEnd w:id="45"/>
    <w:p w:rsidR="009B0111" w:rsidRPr="00175DE4" w:rsidRDefault="009B0111" w:rsidP="009B0111"/>
    <w:bookmarkStart w:id="46" w:name="sub_2301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"http://ivo.garant.ru/document?id=57985707&amp;sub=2301"</w:instrText>
      </w:r>
      <w:r w:rsidRPr="00175DE4">
        <w:fldChar w:fldCharType="separate"/>
      </w:r>
      <w:r w:rsidRPr="00175DE4">
        <w:rPr>
          <w:rStyle w:val="a4"/>
        </w:rPr>
        <w:t>23.1</w:t>
      </w:r>
      <w:r w:rsidRPr="00175DE4">
        <w:fldChar w:fldCharType="end"/>
      </w:r>
      <w:r w:rsidRPr="00175DE4">
        <w:t>. Масса перевозимого груза и распределение нагрузки по осям не должны превышать величин, установленных предприятием-изготовителем для данного транспортного средства.</w:t>
      </w:r>
    </w:p>
    <w:bookmarkStart w:id="47" w:name="sub_3100"/>
    <w:bookmarkEnd w:id="46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"http://ivo.garant.ru/document?id=57985707&amp;sub=2301"</w:instrText>
      </w:r>
      <w:r w:rsidRPr="00175DE4">
        <w:fldChar w:fldCharType="separate"/>
      </w:r>
      <w:r w:rsidRPr="00175DE4">
        <w:rPr>
          <w:rStyle w:val="a4"/>
        </w:rPr>
        <w:t>23.2</w:t>
      </w:r>
      <w:r w:rsidRPr="00175DE4">
        <w:fldChar w:fldCharType="end"/>
      </w:r>
      <w:r w:rsidRPr="00175DE4">
        <w:t>. Перед началом и во время движения водитель обязан контролировать размещение, крепление и состояние груза во избежание его падения, создания помех для движения.</w:t>
      </w:r>
    </w:p>
    <w:bookmarkStart w:id="48" w:name="sub_2303"/>
    <w:bookmarkEnd w:id="47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"http://ivo.garant.ru/document?id=57985707&amp;sub=2301"</w:instrText>
      </w:r>
      <w:r w:rsidRPr="00175DE4">
        <w:fldChar w:fldCharType="separate"/>
      </w:r>
      <w:r w:rsidRPr="00175DE4">
        <w:rPr>
          <w:rStyle w:val="a4"/>
        </w:rPr>
        <w:t>23.3</w:t>
      </w:r>
      <w:r w:rsidRPr="00175DE4">
        <w:fldChar w:fldCharType="end"/>
      </w:r>
      <w:r w:rsidRPr="00175DE4">
        <w:t>. Перевозка груза допускается при условии, что он:</w:t>
      </w:r>
    </w:p>
    <w:bookmarkEnd w:id="48"/>
    <w:p w:rsidR="009B0111" w:rsidRPr="00175DE4" w:rsidRDefault="009B0111" w:rsidP="009B0111">
      <w:r w:rsidRPr="00175DE4">
        <w:t>не ограничивает водителю обзор;</w:t>
      </w:r>
    </w:p>
    <w:p w:rsidR="009B0111" w:rsidRPr="00175DE4" w:rsidRDefault="009B0111" w:rsidP="009B0111">
      <w:r w:rsidRPr="00175DE4">
        <w:t>не затрудняет управление и не нарушает устойчивость транспортного средства;</w:t>
      </w:r>
    </w:p>
    <w:p w:rsidR="009B0111" w:rsidRPr="00175DE4" w:rsidRDefault="009B0111" w:rsidP="009B0111">
      <w:r w:rsidRPr="00175DE4">
        <w:t xml:space="preserve">не закрывает внешние световые приборы и </w:t>
      </w:r>
      <w:proofErr w:type="spellStart"/>
      <w:r w:rsidRPr="00175DE4">
        <w:t>световозвращатели</w:t>
      </w:r>
      <w:proofErr w:type="spellEnd"/>
      <w:r w:rsidRPr="00175DE4">
        <w:t>, регистрационные и опознавательные знаки, а также не препятствует восприятию сигналов, подаваемых рукой;</w:t>
      </w:r>
    </w:p>
    <w:p w:rsidR="009B0111" w:rsidRPr="00175DE4" w:rsidRDefault="009B0111" w:rsidP="009B0111">
      <w:r w:rsidRPr="00175DE4">
        <w:t>не создает шум, не пылит, не загрязняет дорогу и окружающую среду.</w:t>
      </w:r>
    </w:p>
    <w:p w:rsidR="009B0111" w:rsidRPr="00175DE4" w:rsidRDefault="009B0111" w:rsidP="009B0111">
      <w:r w:rsidRPr="00175DE4">
        <w:t>Если состояние и размещение груза не удовлетворяют указанным требованиям, водитель обязан принять меры к устранению нарушений перечисленных правил перевозки либо прекратить дальнейшее движение.</w:t>
      </w:r>
    </w:p>
    <w:bookmarkStart w:id="49" w:name="sub_234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"http://ivo.garant.ru/document?id=57985707&amp;sub=2301"</w:instrText>
      </w:r>
      <w:r w:rsidRPr="00175DE4">
        <w:fldChar w:fldCharType="separate"/>
      </w:r>
      <w:proofErr w:type="gramStart"/>
      <w:r w:rsidRPr="00175DE4">
        <w:rPr>
          <w:rStyle w:val="a4"/>
        </w:rPr>
        <w:t>23.4</w:t>
      </w:r>
      <w:r w:rsidRPr="00175DE4">
        <w:fldChar w:fldCharType="end"/>
      </w:r>
      <w:r w:rsidRPr="00175DE4">
        <w:t xml:space="preserve">. Груз, выступающий за габариты транспортного средства спереди или сзади более чем на 1 м или сбоку более чем на 0,4 м от внешнего края габаритного огня, должен быть обозначен опознавательными </w:t>
      </w:r>
      <w:hyperlink w:anchor="sub_20089" w:history="1">
        <w:r w:rsidRPr="00175DE4">
          <w:rPr>
            <w:rStyle w:val="a4"/>
          </w:rPr>
          <w:t>знаками "Крупногабаритный груз"</w:t>
        </w:r>
      </w:hyperlink>
      <w:r w:rsidRPr="00175DE4">
        <w:t xml:space="preserve">, а в темное время суток и в условиях недостаточной видимости, кроме того, спереди - фонарем или </w:t>
      </w:r>
      <w:proofErr w:type="spellStart"/>
      <w:r w:rsidRPr="00175DE4">
        <w:t>световозвращателем</w:t>
      </w:r>
      <w:proofErr w:type="spellEnd"/>
      <w:r w:rsidRPr="00175DE4">
        <w:t xml:space="preserve"> белого цвета, сзади - фонарем или </w:t>
      </w:r>
      <w:proofErr w:type="spellStart"/>
      <w:r w:rsidRPr="00175DE4">
        <w:t>световозвращателем</w:t>
      </w:r>
      <w:proofErr w:type="spellEnd"/>
      <w:r w:rsidRPr="00175DE4">
        <w:t xml:space="preserve"> красного цвета.</w:t>
      </w:r>
      <w:proofErr w:type="gramEnd"/>
    </w:p>
    <w:bookmarkStart w:id="50" w:name="sub_235"/>
    <w:bookmarkEnd w:id="49"/>
    <w:p w:rsidR="009B0111" w:rsidRPr="00175DE4" w:rsidRDefault="009B0111" w:rsidP="009B0111">
      <w:r w:rsidRPr="00175DE4">
        <w:fldChar w:fldCharType="begin"/>
      </w:r>
      <w:r w:rsidRPr="00175DE4">
        <w:instrText>HYPERLINK "http://ivo.garant.ru/document?id=57985707&amp;sub=2301"</w:instrText>
      </w:r>
      <w:r w:rsidRPr="00175DE4">
        <w:fldChar w:fldCharType="separate"/>
      </w:r>
      <w:proofErr w:type="gramStart"/>
      <w:r w:rsidRPr="00175DE4">
        <w:rPr>
          <w:rStyle w:val="a4"/>
        </w:rPr>
        <w:t>23.5</w:t>
      </w:r>
      <w:r w:rsidRPr="00175DE4">
        <w:fldChar w:fldCharType="end"/>
      </w:r>
      <w:r w:rsidRPr="00175DE4">
        <w:t>. Перевозка тяжеловесных и опасных грузов, движение транспортного средства, габаритные параметры которого с грузом или без него превышают по ширине 2,55 м (2,6 м - для рефрижераторов и изотермических кузовов), по высоте 4 м от поверхности проезжей части, по длине (включая один прицеп) 20 м, либо движение транспортного средства с грузом, выступающим за заднюю точку габарита транспортного средства более чем на</w:t>
      </w:r>
      <w:proofErr w:type="gramEnd"/>
      <w:r w:rsidRPr="00175DE4">
        <w:t xml:space="preserve"> 2 м, а также движение автопоездов с двумя и более прицепами осуществляются в соответствии со специальными правилами.</w:t>
      </w:r>
    </w:p>
    <w:bookmarkEnd w:id="50"/>
    <w:p w:rsidR="009B0111" w:rsidRPr="00175DE4" w:rsidRDefault="009B0111" w:rsidP="009B0111">
      <w:r w:rsidRPr="00175DE4">
        <w:t xml:space="preserve">Международные автомобильные перевозки осуществляются в соответствии с требованиями к транспортным средствам и правилами перевозки, установленными </w:t>
      </w:r>
      <w:r w:rsidRPr="00175DE4">
        <w:lastRenderedPageBreak/>
        <w:t>международными договорами Российской Федерации.</w:t>
      </w:r>
    </w:p>
    <w:p w:rsidR="004E1E04" w:rsidRPr="009B0111" w:rsidRDefault="004E1E04">
      <w:pPr>
        <w:rPr>
          <w:rFonts w:ascii="Times New Roman" w:hAnsi="Times New Roman" w:cs="Times New Roman"/>
        </w:rPr>
      </w:pPr>
      <w:bookmarkStart w:id="51" w:name="_GoBack"/>
      <w:bookmarkEnd w:id="51"/>
    </w:p>
    <w:sectPr w:rsidR="004E1E04" w:rsidRPr="009B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11"/>
    <w:rsid w:val="004E1E04"/>
    <w:rsid w:val="009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0111"/>
    <w:rPr>
      <w:b/>
      <w:color w:val="26282F"/>
    </w:rPr>
  </w:style>
  <w:style w:type="character" w:customStyle="1" w:styleId="a4">
    <w:name w:val="Гипертекстовая ссылка"/>
    <w:uiPriority w:val="99"/>
    <w:rsid w:val="009B011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0111"/>
    <w:rPr>
      <w:b/>
      <w:color w:val="26282F"/>
    </w:rPr>
  </w:style>
  <w:style w:type="character" w:customStyle="1" w:styleId="a4">
    <w:name w:val="Гипертекстовая ссылка"/>
    <w:uiPriority w:val="99"/>
    <w:rsid w:val="009B011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06658&amp;sub=10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45618&amp;sub=1000" TargetMode="External"/><Relationship Id="rId5" Type="http://schemas.openxmlformats.org/officeDocument/2006/relationships/hyperlink" Target="http://ivo.garant.ru/document?id=12058971&amp;sub=10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Дистель</dc:creator>
  <cp:lastModifiedBy>Александр Дистель</cp:lastModifiedBy>
  <cp:revision>1</cp:revision>
  <dcterms:created xsi:type="dcterms:W3CDTF">2020-03-31T07:35:00Z</dcterms:created>
  <dcterms:modified xsi:type="dcterms:W3CDTF">2020-03-31T07:36:00Z</dcterms:modified>
</cp:coreProperties>
</file>