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0" w:rsidRPr="00DA47CE" w:rsidRDefault="00B45270" w:rsidP="00B45270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82833021"/>
      <w:bookmarkStart w:id="1" w:name="_Toc382833435"/>
      <w:bookmarkStart w:id="2" w:name="_Toc382833476"/>
      <w:bookmarkStart w:id="3" w:name="_Toc382833524"/>
      <w:bookmarkStart w:id="4" w:name="_Toc382833572"/>
      <w:r w:rsidRPr="00DA47CE">
        <w:rPr>
          <w:rFonts w:ascii="Times New Roman" w:hAnsi="Times New Roman" w:cs="Times New Roman"/>
          <w:i w:val="0"/>
          <w:sz w:val="24"/>
          <w:szCs w:val="24"/>
        </w:rPr>
        <w:t>Обработка результ</w:t>
      </w:r>
      <w:bookmarkStart w:id="5" w:name="_GoBack"/>
      <w:bookmarkEnd w:id="5"/>
      <w:r w:rsidRPr="00DA47CE">
        <w:rPr>
          <w:rFonts w:ascii="Times New Roman" w:hAnsi="Times New Roman" w:cs="Times New Roman"/>
          <w:i w:val="0"/>
          <w:sz w:val="24"/>
          <w:szCs w:val="24"/>
        </w:rPr>
        <w:t>атов исследования</w:t>
      </w:r>
      <w:bookmarkEnd w:id="0"/>
      <w:bookmarkEnd w:id="1"/>
      <w:bookmarkEnd w:id="2"/>
      <w:bookmarkEnd w:id="3"/>
      <w:bookmarkEnd w:id="4"/>
    </w:p>
    <w:p w:rsidR="00B45270" w:rsidRPr="00150FAA" w:rsidRDefault="00B45270" w:rsidP="00B45270">
      <w:pPr>
        <w:pStyle w:val="3"/>
        <w:ind w:left="0" w:firstLine="720"/>
        <w:jc w:val="both"/>
        <w:rPr>
          <w:sz w:val="24"/>
          <w:szCs w:val="24"/>
        </w:rPr>
      </w:pPr>
      <w:proofErr w:type="gramStart"/>
      <w:r w:rsidRPr="00150FAA">
        <w:rPr>
          <w:sz w:val="24"/>
          <w:szCs w:val="24"/>
        </w:rPr>
        <w:t xml:space="preserve">Обработка результатов </w:t>
      </w:r>
      <w:proofErr w:type="spellStart"/>
      <w:r w:rsidRPr="00150FAA">
        <w:rPr>
          <w:sz w:val="24"/>
          <w:szCs w:val="24"/>
        </w:rPr>
        <w:t>гидропрослушивания</w:t>
      </w:r>
      <w:proofErr w:type="spellEnd"/>
      <w:r w:rsidRPr="00150FAA">
        <w:rPr>
          <w:sz w:val="24"/>
          <w:szCs w:val="24"/>
        </w:rPr>
        <w:t xml:space="preserve"> производится с целью установления факта наличия или отсутствия гидравлической связи между возмущающей и реагирующей скважинами и определением параметров </w:t>
      </w:r>
      <w:proofErr w:type="spellStart"/>
      <w:r w:rsidRPr="00150FAA">
        <w:rPr>
          <w:sz w:val="24"/>
          <w:szCs w:val="24"/>
        </w:rPr>
        <w:t>гидропроводности</w:t>
      </w:r>
      <w:proofErr w:type="spellEnd"/>
      <w:r w:rsidRPr="00150FAA">
        <w:rPr>
          <w:sz w:val="24"/>
          <w:szCs w:val="24"/>
        </w:rPr>
        <w:t xml:space="preserve"> и </w:t>
      </w:r>
      <w:proofErr w:type="spellStart"/>
      <w:r w:rsidRPr="00150FAA">
        <w:rPr>
          <w:sz w:val="24"/>
          <w:szCs w:val="24"/>
        </w:rPr>
        <w:t>пьезопроводности</w:t>
      </w:r>
      <w:proofErr w:type="spellEnd"/>
      <w:r w:rsidRPr="00150FAA">
        <w:rPr>
          <w:sz w:val="24"/>
          <w:szCs w:val="24"/>
        </w:rPr>
        <w:t xml:space="preserve"> пласта на участке между исследуемыми скважинами.</w:t>
      </w:r>
      <w:proofErr w:type="gramEnd"/>
    </w:p>
    <w:p w:rsidR="00B45270" w:rsidRPr="00150FAA" w:rsidRDefault="00B45270" w:rsidP="00B45270">
      <w:pPr>
        <w:ind w:firstLine="720"/>
        <w:jc w:val="both"/>
      </w:pPr>
      <w:r w:rsidRPr="00150FAA">
        <w:t xml:space="preserve">Для решения многих практических задач, связанных с проектированием и разработкой нефтяных и газовых месторождений, а также с установлением режимов эксплуатации отдельных скважин, необходимо определить параметры, характеризующие гидродинамические свойства скважин и пластов: продуктивность скважин, коэффициент гидродинамического совершенства, </w:t>
      </w:r>
      <w:proofErr w:type="spellStart"/>
      <w:r w:rsidRPr="00150FAA">
        <w:t>гидропроводности</w:t>
      </w:r>
      <w:proofErr w:type="spellEnd"/>
      <w:r w:rsidRPr="00150FAA">
        <w:t xml:space="preserve">, </w:t>
      </w:r>
      <w:proofErr w:type="spellStart"/>
      <w:r w:rsidRPr="00150FAA">
        <w:t>пьезопроводности</w:t>
      </w:r>
      <w:proofErr w:type="spellEnd"/>
      <w:r w:rsidRPr="00150FAA">
        <w:t xml:space="preserve"> и др.</w:t>
      </w:r>
    </w:p>
    <w:p w:rsidR="00B45270" w:rsidRPr="00150FAA" w:rsidRDefault="00B45270" w:rsidP="00B45270">
      <w:pPr>
        <w:ind w:firstLine="720"/>
        <w:jc w:val="both"/>
      </w:pPr>
      <w:r w:rsidRPr="00150FAA">
        <w:t xml:space="preserve">Коэффициентом продуктивности называется суточный дебит скважины, приходящийся на единицу депрессии.   </w:t>
      </w:r>
    </w:p>
    <w:p w:rsidR="00B45270" w:rsidRPr="00150FAA" w:rsidRDefault="00B45270" w:rsidP="00B45270">
      <w:pPr>
        <w:ind w:firstLine="720"/>
        <w:jc w:val="both"/>
      </w:pPr>
      <w:r w:rsidRPr="00150FAA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6.7pt" o:ole="">
            <v:imagedata r:id="rId6" o:title=""/>
          </v:shape>
          <o:OLEObject Type="Embed" ProgID="Equation.3" ShapeID="_x0000_i1025" DrawAspect="Content" ObjectID="_1653982670" r:id="rId7"/>
        </w:object>
      </w:r>
      <w:r w:rsidRPr="00150FAA">
        <w:rPr>
          <w:position w:val="-28"/>
        </w:rPr>
        <w:object w:dxaOrig="180" w:dyaOrig="680">
          <v:shape id="_x0000_i1026" type="#_x0000_t75" style="width:9.2pt;height:34.55pt" o:ole="">
            <v:imagedata r:id="rId8" o:title=""/>
          </v:shape>
          <o:OLEObject Type="Embed" ProgID="Equation.3" ShapeID="_x0000_i1026" DrawAspect="Content" ObjectID="_1653982671" r:id="rId9"/>
        </w:object>
      </w:r>
      <w:r w:rsidRPr="00150FAA">
        <w:rPr>
          <w:position w:val="-46"/>
        </w:rPr>
        <w:object w:dxaOrig="2700" w:dyaOrig="980">
          <v:shape id="_x0000_i1027" type="#_x0000_t75" style="width:134.8pt;height:48.95pt" o:ole="">
            <v:imagedata r:id="rId10" o:title=""/>
          </v:shape>
          <o:OLEObject Type="Embed" ProgID="Equation.3" ShapeID="_x0000_i1027" DrawAspect="Content" ObjectID="_1653982672" r:id="rId11"/>
        </w:object>
      </w:r>
      <w:r w:rsidRPr="00150FAA">
        <w:t xml:space="preserve">,      </w:t>
      </w:r>
    </w:p>
    <w:p w:rsidR="00B45270" w:rsidRPr="00150FAA" w:rsidRDefault="00B45270" w:rsidP="00B45270">
      <w:pPr>
        <w:ind w:firstLine="720"/>
        <w:jc w:val="both"/>
      </w:pPr>
    </w:p>
    <w:p w:rsidR="00B45270" w:rsidRPr="00150FAA" w:rsidRDefault="00B45270" w:rsidP="00B45270">
      <w:pPr>
        <w:ind w:firstLine="720"/>
        <w:jc w:val="both"/>
      </w:pPr>
      <w:r w:rsidRPr="00150FAA">
        <w:t>аналогом  коэффициента продуктивности для нагнетательных скважин является коэффициент приемистости.</w:t>
      </w:r>
    </w:p>
    <w:p w:rsidR="00B45270" w:rsidRPr="00150FAA" w:rsidRDefault="00B45270" w:rsidP="00B45270">
      <w:pPr>
        <w:ind w:firstLine="720"/>
        <w:jc w:val="both"/>
      </w:pPr>
      <w:r w:rsidRPr="00150FAA">
        <w:t>Коэффициент продуктивности численно равен дебиту скважины, приходящемуся на единицу перепада между пластовым и забойным давлением. Размерность коэффициента продуктивности зависит от размерностей дебита и депрессии.</w:t>
      </w:r>
    </w:p>
    <w:p w:rsidR="00B45270" w:rsidRPr="00150FAA" w:rsidRDefault="00B45270" w:rsidP="00B45270">
      <w:pPr>
        <w:ind w:firstLine="720"/>
        <w:jc w:val="both"/>
      </w:pPr>
      <w:r w:rsidRPr="00150FAA">
        <w:t xml:space="preserve">Коэффициент продуктивности скважины зависит от </w:t>
      </w:r>
      <w:proofErr w:type="spellStart"/>
      <w:r w:rsidRPr="00150FAA">
        <w:t>гидропроводности</w:t>
      </w:r>
      <w:proofErr w:type="spellEnd"/>
      <w:r w:rsidRPr="00150FAA">
        <w:t xml:space="preserve"> пласта в ее районе, от приведенного радиуса и от среднего расстояния между исследуемой скважиной и </w:t>
      </w:r>
      <w:proofErr w:type="gramStart"/>
      <w:r w:rsidRPr="00150FAA">
        <w:t>соседними</w:t>
      </w:r>
      <w:proofErr w:type="gramEnd"/>
      <w:r w:rsidRPr="00150FAA">
        <w:t xml:space="preserve"> ее </w:t>
      </w:r>
      <w:proofErr w:type="spellStart"/>
      <w:r w:rsidRPr="00150FAA">
        <w:t>окружащими</w:t>
      </w:r>
      <w:proofErr w:type="spellEnd"/>
      <w:r w:rsidRPr="00150FAA">
        <w:t>.</w:t>
      </w:r>
    </w:p>
    <w:p w:rsidR="00B45270" w:rsidRPr="00150FAA" w:rsidRDefault="00B45270" w:rsidP="00B45270">
      <w:pPr>
        <w:ind w:firstLine="720"/>
        <w:jc w:val="both"/>
      </w:pPr>
      <w:r w:rsidRPr="00150FAA">
        <w:t xml:space="preserve">Необходимо учитывать, что величина </w:t>
      </w:r>
      <w:r w:rsidRPr="00150FAA">
        <w:rPr>
          <w:lang w:val="en-US"/>
        </w:rPr>
        <w:t>k</w:t>
      </w:r>
      <w:r w:rsidRPr="00150FAA">
        <w:t xml:space="preserve"> обозначает не физическую проницаемость коллектора, а фазовую проницаемость для жидкости, являющуюся функцией насыщенности пласта этой жидкостью. При фильтрации однофазной жидкости (другая фаза находится в связанном состоянии) фазовая проницаемость для нее близка к физической проницаемости пласта.</w:t>
      </w:r>
    </w:p>
    <w:p w:rsidR="00B45270" w:rsidRPr="00150FAA" w:rsidRDefault="00B45270" w:rsidP="00B45270">
      <w:pPr>
        <w:pStyle w:val="a6"/>
        <w:ind w:firstLine="720"/>
        <w:jc w:val="both"/>
      </w:pPr>
      <w:r w:rsidRPr="00150FAA">
        <w:t>Нефть и газ насыщают пустоты между зернами горных пород, трещины и каверн</w:t>
      </w:r>
      <w:proofErr w:type="gramStart"/>
      <w:r w:rsidRPr="00150FAA">
        <w:t>ы-</w:t>
      </w:r>
      <w:proofErr w:type="gramEnd"/>
      <w:r w:rsidRPr="00150FAA">
        <w:t xml:space="preserve"> пустоты в породах, образованные в результате растворения солей пластовыми водами, распада органических веществ, содержащихся в породе и т.д. Емкостные свойства коллекторов нефти (газа) характеризуются коэффициентами, определяемыми, как отношение объема пустот в породе к объему породы. В коллекторах нормального типа, состоящих из зернистых материалов (пески, песчаники, разнозернистые доломиты и др.) емкостные свойства характеризуются коэффициентами абсолютной и эффективной (открытой</w:t>
      </w:r>
      <w:proofErr w:type="gramStart"/>
      <w:r w:rsidRPr="00150FAA">
        <w:t xml:space="preserve"> )</w:t>
      </w:r>
      <w:proofErr w:type="gramEnd"/>
      <w:r w:rsidRPr="00150FAA">
        <w:t xml:space="preserve"> пористости.</w:t>
      </w:r>
    </w:p>
    <w:p w:rsidR="00B45270" w:rsidRPr="00150FAA" w:rsidRDefault="00B45270" w:rsidP="00B45270">
      <w:pPr>
        <w:ind w:firstLine="720"/>
        <w:jc w:val="both"/>
      </w:pPr>
      <w:r w:rsidRPr="00707B3A">
        <w:rPr>
          <w:b/>
        </w:rPr>
        <w:t>Абсолютная пористость, m –</w:t>
      </w:r>
      <w:r w:rsidRPr="00150FAA">
        <w:t xml:space="preserve"> отношение суммарного объема всех пор </w:t>
      </w:r>
      <w:proofErr w:type="gramStart"/>
      <w:r w:rsidRPr="00150FAA">
        <w:rPr>
          <w:lang w:val="en-US"/>
        </w:rPr>
        <w:t>V</w:t>
      </w:r>
      <w:proofErr w:type="gramEnd"/>
      <w:r w:rsidRPr="00150FAA">
        <w:rPr>
          <w:vertAlign w:val="subscript"/>
        </w:rPr>
        <w:t>п</w:t>
      </w:r>
      <w:r w:rsidRPr="00150FAA">
        <w:t xml:space="preserve"> данного образца породы к полному объему образца </w:t>
      </w:r>
      <w:r w:rsidRPr="00150FAA">
        <w:rPr>
          <w:lang w:val="en-US"/>
        </w:rPr>
        <w:t>V</w:t>
      </w:r>
      <w:r w:rsidRPr="00150FAA">
        <w:t>:</w:t>
      </w:r>
    </w:p>
    <w:p w:rsidR="00B45270" w:rsidRPr="00150FAA" w:rsidRDefault="00B45270" w:rsidP="00B45270">
      <w:pPr>
        <w:ind w:firstLine="720"/>
        <w:jc w:val="both"/>
        <w:rPr>
          <w:b/>
          <w:bCs/>
        </w:rPr>
      </w:pPr>
      <w:r w:rsidRPr="00150FAA">
        <w:rPr>
          <w:b/>
          <w:bCs/>
          <w:lang w:val="en-US"/>
        </w:rPr>
        <w:t>m</w:t>
      </w:r>
      <w:r w:rsidRPr="00150FAA">
        <w:rPr>
          <w:b/>
          <w:bCs/>
        </w:rPr>
        <w:t>=</w:t>
      </w:r>
      <w:r w:rsidRPr="00150FAA">
        <w:rPr>
          <w:b/>
          <w:bCs/>
          <w:lang w:val="en-US"/>
        </w:rPr>
        <w:t>V</w:t>
      </w:r>
      <w:r w:rsidRPr="00150FAA">
        <w:rPr>
          <w:b/>
          <w:bCs/>
          <w:vertAlign w:val="subscript"/>
        </w:rPr>
        <w:t>п</w:t>
      </w:r>
      <w:r w:rsidRPr="00150FAA">
        <w:rPr>
          <w:b/>
          <w:bCs/>
        </w:rPr>
        <w:t>/</w:t>
      </w:r>
      <w:r w:rsidRPr="00150FAA">
        <w:rPr>
          <w:b/>
          <w:bCs/>
          <w:lang w:val="en-US"/>
        </w:rPr>
        <w:t>V</w:t>
      </w:r>
      <w:r w:rsidRPr="00150FAA">
        <w:rPr>
          <w:b/>
          <w:bCs/>
        </w:rPr>
        <w:t>.</w:t>
      </w:r>
    </w:p>
    <w:p w:rsidR="00B45270" w:rsidRPr="00150FAA" w:rsidRDefault="00B45270" w:rsidP="00B45270">
      <w:pPr>
        <w:pStyle w:val="a6"/>
        <w:ind w:firstLine="720"/>
        <w:jc w:val="both"/>
      </w:pPr>
      <w:r w:rsidRPr="00150FAA">
        <w:t>Обычно пористость выражают в процентах. Коэффициент абсолютной пористости используют при оценке геологических запасов нефти и газа, а также для сравнения строения пластов или отдельных  их участков.</w:t>
      </w:r>
    </w:p>
    <w:p w:rsidR="00B45270" w:rsidRPr="00150FAA" w:rsidRDefault="00B45270" w:rsidP="00B45270">
      <w:pPr>
        <w:ind w:firstLine="720"/>
        <w:jc w:val="both"/>
      </w:pPr>
      <w:r w:rsidRPr="00150FAA">
        <w:t>Пористость некоторых горных пород (</w:t>
      </w:r>
      <w:proofErr w:type="gramStart"/>
      <w:r w:rsidRPr="00150FAA">
        <w:t>в</w:t>
      </w:r>
      <w:proofErr w:type="gramEnd"/>
      <w:r w:rsidRPr="00150FAA">
        <w:t xml:space="preserve"> %):</w:t>
      </w:r>
    </w:p>
    <w:p w:rsidR="00B45270" w:rsidRPr="00150FAA" w:rsidRDefault="00B45270" w:rsidP="00B45270">
      <w:pPr>
        <w:ind w:firstLine="720"/>
        <w:jc w:val="both"/>
      </w:pPr>
      <w:r w:rsidRPr="00150FAA">
        <w:t>Таблица №3.1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3343"/>
      </w:tblGrid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Породы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bookmarkStart w:id="6" w:name="_Toc382833022"/>
            <w:bookmarkStart w:id="7" w:name="_Toc382833436"/>
            <w:bookmarkStart w:id="8" w:name="_Toc382833477"/>
            <w:bookmarkStart w:id="9" w:name="_Toc382833525"/>
            <w:r w:rsidRPr="00150FAA">
              <w:t>Пористость,%</w:t>
            </w:r>
            <w:bookmarkEnd w:id="6"/>
            <w:bookmarkEnd w:id="7"/>
            <w:bookmarkEnd w:id="8"/>
            <w:bookmarkEnd w:id="9"/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Изверженные породы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0,05-1,25</w:t>
            </w:r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Глинистые сланцы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0,54-1,4</w:t>
            </w:r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Глины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6-50,0</w:t>
            </w:r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lastRenderedPageBreak/>
              <w:t>Пески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6-52,0</w:t>
            </w:r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Песчаники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3,5-29,0</w:t>
            </w:r>
          </w:p>
        </w:tc>
      </w:tr>
      <w:tr w:rsidR="00B45270" w:rsidRPr="00150FAA" w:rsidTr="00624C99">
        <w:tc>
          <w:tcPr>
            <w:tcW w:w="6228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Известняки и доломиты</w:t>
            </w:r>
          </w:p>
        </w:tc>
        <w:tc>
          <w:tcPr>
            <w:tcW w:w="3343" w:type="dxa"/>
          </w:tcPr>
          <w:p w:rsidR="00B45270" w:rsidRPr="00150FAA" w:rsidRDefault="00B45270" w:rsidP="00624C99">
            <w:pPr>
              <w:ind w:firstLine="720"/>
              <w:jc w:val="both"/>
            </w:pPr>
            <w:r w:rsidRPr="00150FAA">
              <w:t>0,65-33,0</w:t>
            </w:r>
          </w:p>
        </w:tc>
      </w:tr>
    </w:tbl>
    <w:p w:rsidR="00B45270" w:rsidRPr="00150FAA" w:rsidRDefault="00B45270" w:rsidP="00B45270">
      <w:pPr>
        <w:ind w:firstLine="720"/>
        <w:jc w:val="both"/>
      </w:pPr>
    </w:p>
    <w:p w:rsidR="00B45270" w:rsidRPr="00150FAA" w:rsidRDefault="00B45270" w:rsidP="00B45270">
      <w:pPr>
        <w:ind w:firstLine="720"/>
        <w:jc w:val="both"/>
      </w:pPr>
      <w:r w:rsidRPr="00150FAA">
        <w:t xml:space="preserve">Фильтрационные свойства горных пород оценивают проницаемостью – способностью пропускать через себя жидкость или газ под действием перепада давления. Для количественной оценки проницаемости разных пород используется единица проницаемости </w:t>
      </w:r>
      <w:smartTag w:uri="urn:schemas-microsoft-com:office:smarttags" w:element="metricconverter">
        <w:smartTagPr>
          <w:attr w:name="ProductID" w:val="1 м2"/>
        </w:smartTagPr>
        <w:r w:rsidRPr="00150FAA">
          <w:t>1 м</w:t>
        </w:r>
        <w:proofErr w:type="gramStart"/>
        <w:r w:rsidRPr="00150FAA">
          <w:rPr>
            <w:vertAlign w:val="superscript"/>
          </w:rPr>
          <w:t>2</w:t>
        </w:r>
      </w:smartTag>
      <w:proofErr w:type="gramEnd"/>
      <w:r w:rsidRPr="00150FAA">
        <w:t xml:space="preserve">, которую имеет образец пористой среды площадью в </w:t>
      </w:r>
      <w:smartTag w:uri="urn:schemas-microsoft-com:office:smarttags" w:element="metricconverter">
        <w:smartTagPr>
          <w:attr w:name="ProductID" w:val="1 м2"/>
        </w:smartTagPr>
        <w:r w:rsidRPr="00150FAA">
          <w:t>1 м</w:t>
        </w:r>
        <w:r w:rsidRPr="00150FAA">
          <w:rPr>
            <w:vertAlign w:val="superscript"/>
          </w:rPr>
          <w:t>2</w:t>
        </w:r>
      </w:smartTag>
      <w:r w:rsidRPr="00150FAA">
        <w:t xml:space="preserve"> длиной 1м, пропускающий в одну секунду </w:t>
      </w:r>
      <w:smartTag w:uri="urn:schemas-microsoft-com:office:smarttags" w:element="metricconverter">
        <w:smartTagPr>
          <w:attr w:name="ProductID" w:val="1 м3"/>
        </w:smartTagPr>
        <w:r w:rsidRPr="00150FAA">
          <w:t>1 м</w:t>
        </w:r>
        <w:r w:rsidRPr="00150FAA">
          <w:rPr>
            <w:vertAlign w:val="superscript"/>
          </w:rPr>
          <w:t>3</w:t>
        </w:r>
      </w:smartTag>
      <w:r w:rsidRPr="00150FAA">
        <w:t xml:space="preserve"> жидкости  с вязкостью 1 Па*с при перепаде давления 1Па. На практике за единицу проницаемости принят 1 мкм</w:t>
      </w:r>
      <w:r w:rsidRPr="00150FAA">
        <w:rPr>
          <w:vertAlign w:val="superscript"/>
        </w:rPr>
        <w:t>2</w:t>
      </w:r>
      <w:r w:rsidRPr="00150FAA">
        <w:t xml:space="preserve"> </w:t>
      </w:r>
      <w:proofErr w:type="gramStart"/>
      <w:r w:rsidRPr="00150FAA">
        <w:t xml:space="preserve">( </w:t>
      </w:r>
      <w:proofErr w:type="gramEnd"/>
      <w:r w:rsidRPr="00150FAA">
        <w:t xml:space="preserve">квадратный микрометр), который в 100 раз меньше </w:t>
      </w:r>
      <w:smartTag w:uri="urn:schemas-microsoft-com:office:smarttags" w:element="metricconverter">
        <w:smartTagPr>
          <w:attr w:name="ProductID" w:val="1 м2"/>
        </w:smartTagPr>
        <w:r w:rsidRPr="00150FAA">
          <w:t>1 м</w:t>
        </w:r>
        <w:r w:rsidRPr="00150FAA">
          <w:rPr>
            <w:vertAlign w:val="superscript"/>
          </w:rPr>
          <w:t>2</w:t>
        </w:r>
      </w:smartTag>
      <w:r w:rsidRPr="00150FAA">
        <w:t>.</w:t>
      </w:r>
    </w:p>
    <w:p w:rsidR="00B45270" w:rsidRPr="00150FAA" w:rsidRDefault="00B45270" w:rsidP="00B45270">
      <w:pPr>
        <w:ind w:firstLine="720"/>
        <w:jc w:val="both"/>
      </w:pPr>
      <w:r w:rsidRPr="00150FAA">
        <w:t>Различают абсолютную, фазовую и относительную проницаемость горных пород.</w:t>
      </w:r>
    </w:p>
    <w:p w:rsidR="00B45270" w:rsidRPr="00150FAA" w:rsidRDefault="00B45270" w:rsidP="00B45270">
      <w:pPr>
        <w:ind w:firstLine="720"/>
        <w:jc w:val="both"/>
      </w:pPr>
      <w:r w:rsidRPr="00150FAA">
        <w:rPr>
          <w:b/>
          <w:bCs/>
        </w:rPr>
        <w:t xml:space="preserve">Абсолютная </w:t>
      </w:r>
      <w:r w:rsidRPr="00150FAA">
        <w:t xml:space="preserve"> (физическая) проницаемость – проницаемость пористой среды, которая определена при фильтрации через нее или однородной жидкости, или газа, химически </w:t>
      </w:r>
      <w:proofErr w:type="gramStart"/>
      <w:r w:rsidRPr="00150FAA">
        <w:t>инертных</w:t>
      </w:r>
      <w:proofErr w:type="gramEnd"/>
      <w:r w:rsidRPr="00150FAA">
        <w:t xml:space="preserve"> по отношению к породе.</w:t>
      </w:r>
    </w:p>
    <w:p w:rsidR="00B45270" w:rsidRPr="00150FAA" w:rsidRDefault="00B45270" w:rsidP="00B45270">
      <w:pPr>
        <w:ind w:firstLine="720"/>
        <w:jc w:val="both"/>
      </w:pPr>
      <w:r w:rsidRPr="00150FAA">
        <w:rPr>
          <w:b/>
          <w:bCs/>
        </w:rPr>
        <w:t>Фазовая</w:t>
      </w:r>
      <w:r w:rsidRPr="00150FAA">
        <w:t xml:space="preserve"> (эффективная) проницаемость - проницаемость горных пород для данного газа или жидкости (фазы) при наличии в пористой среде других жидкостей или газов.</w:t>
      </w:r>
    </w:p>
    <w:p w:rsidR="00B45270" w:rsidRPr="00150FAA" w:rsidRDefault="00B45270" w:rsidP="00B45270">
      <w:pPr>
        <w:ind w:firstLine="720"/>
        <w:jc w:val="both"/>
      </w:pPr>
      <w:r w:rsidRPr="00150FAA">
        <w:t xml:space="preserve">Отношение фазовой проницаемости для данной фазы </w:t>
      </w:r>
      <w:proofErr w:type="gramStart"/>
      <w:r w:rsidRPr="00150FAA">
        <w:t>к</w:t>
      </w:r>
      <w:proofErr w:type="gramEnd"/>
      <w:r w:rsidRPr="00150FAA">
        <w:t xml:space="preserve"> абсолютной называется </w:t>
      </w:r>
      <w:r w:rsidRPr="00150FAA">
        <w:rPr>
          <w:b/>
          <w:bCs/>
        </w:rPr>
        <w:t>относительной</w:t>
      </w:r>
      <w:r w:rsidRPr="00150FAA">
        <w:t xml:space="preserve"> проницаемостью.</w:t>
      </w:r>
    </w:p>
    <w:p w:rsidR="00B45270" w:rsidRPr="00150FAA" w:rsidRDefault="00B45270" w:rsidP="00B45270">
      <w:pPr>
        <w:ind w:firstLine="720"/>
        <w:jc w:val="both"/>
      </w:pPr>
      <w:r w:rsidRPr="00150FAA">
        <w:rPr>
          <w:b/>
        </w:rPr>
        <w:t>Коэффициент проницаемости</w:t>
      </w:r>
      <w:r w:rsidRPr="00150FAA">
        <w:t xml:space="preserve"> зависит от многих факторов: размеров и формы, зерен породы, степени их уплотнения и цементации и др. Обычно, чем выше пористость породы, тем больше ее проницаемость, но эти характеристики не связаны каким–либо точным количественным соотношением.</w:t>
      </w:r>
    </w:p>
    <w:p w:rsidR="00B45270" w:rsidRPr="00150FAA" w:rsidRDefault="00B45270" w:rsidP="00B45270">
      <w:pPr>
        <w:pStyle w:val="31"/>
        <w:spacing w:line="240" w:lineRule="auto"/>
        <w:ind w:firstLine="720"/>
        <w:rPr>
          <w:b/>
          <w:bCs/>
          <w:color w:val="auto"/>
          <w:sz w:val="24"/>
        </w:rPr>
      </w:pPr>
    </w:p>
    <w:p w:rsidR="00B45270" w:rsidRPr="00150FAA" w:rsidRDefault="00B45270" w:rsidP="00B45270">
      <w:pPr>
        <w:pStyle w:val="a3"/>
        <w:numPr>
          <w:ilvl w:val="0"/>
          <w:numId w:val="1"/>
        </w:numPr>
        <w:spacing w:line="240" w:lineRule="auto"/>
        <w:ind w:firstLine="720"/>
        <w:jc w:val="both"/>
        <w:rPr>
          <w:b w:val="0"/>
          <w:szCs w:val="24"/>
        </w:rPr>
      </w:pPr>
      <w:r w:rsidRPr="00150FAA">
        <w:rPr>
          <w:b w:val="0"/>
          <w:szCs w:val="24"/>
        </w:rPr>
        <w:t xml:space="preserve">Методы исследования скважин. Гидродинамические исследования. </w:t>
      </w:r>
    </w:p>
    <w:p w:rsidR="00B45270" w:rsidRPr="00150FAA" w:rsidRDefault="00B45270" w:rsidP="00B45270">
      <w:pPr>
        <w:pStyle w:val="a3"/>
        <w:numPr>
          <w:ilvl w:val="0"/>
          <w:numId w:val="1"/>
        </w:numPr>
        <w:spacing w:line="240" w:lineRule="auto"/>
        <w:ind w:firstLine="720"/>
        <w:jc w:val="both"/>
        <w:rPr>
          <w:b w:val="0"/>
          <w:szCs w:val="24"/>
        </w:rPr>
      </w:pPr>
      <w:r w:rsidRPr="00150FAA">
        <w:rPr>
          <w:b w:val="0"/>
          <w:szCs w:val="24"/>
        </w:rPr>
        <w:t>Какие приборы применяются для исследования скважин?</w:t>
      </w:r>
    </w:p>
    <w:p w:rsidR="00B45270" w:rsidRPr="00150FAA" w:rsidRDefault="00B45270" w:rsidP="00B4527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150FAA">
        <w:t>Как и чем оснащают скважины для проведения исследований?</w:t>
      </w:r>
    </w:p>
    <w:p w:rsidR="00B45270" w:rsidRPr="00150FAA" w:rsidRDefault="00B45270" w:rsidP="00B45270">
      <w:pPr>
        <w:pStyle w:val="ConsNormal"/>
        <w:widowControl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 w:rsidRPr="00150FAA">
        <w:rPr>
          <w:rFonts w:ascii="Times New Roman" w:hAnsi="Times New Roman"/>
          <w:sz w:val="24"/>
          <w:szCs w:val="24"/>
        </w:rPr>
        <w:t>Приведите графическое изображение и обработку результатов исследований.</w:t>
      </w:r>
    </w:p>
    <w:p w:rsidR="00B45270" w:rsidRPr="00150FAA" w:rsidRDefault="00B45270" w:rsidP="00B45270">
      <w:pPr>
        <w:numPr>
          <w:ilvl w:val="0"/>
          <w:numId w:val="1"/>
        </w:numPr>
        <w:ind w:firstLine="720"/>
        <w:jc w:val="both"/>
      </w:pPr>
      <w:r w:rsidRPr="00150FAA">
        <w:rPr>
          <w:iCs/>
        </w:rPr>
        <w:t>Какие параметры пласта,  определяются при исследовании?</w:t>
      </w:r>
    </w:p>
    <w:p w:rsidR="00B45270" w:rsidRPr="00150FAA" w:rsidRDefault="00B45270" w:rsidP="00B45270">
      <w:pPr>
        <w:numPr>
          <w:ilvl w:val="0"/>
          <w:numId w:val="1"/>
        </w:numPr>
        <w:ind w:firstLine="720"/>
        <w:jc w:val="both"/>
      </w:pPr>
      <w:r w:rsidRPr="00150FAA">
        <w:t>Какие параметры характеризуют залежь?</w:t>
      </w:r>
    </w:p>
    <w:p w:rsidR="00B45270" w:rsidRPr="00150FAA" w:rsidRDefault="00B45270" w:rsidP="00B45270">
      <w:pPr>
        <w:numPr>
          <w:ilvl w:val="0"/>
          <w:numId w:val="1"/>
        </w:numPr>
        <w:ind w:firstLine="720"/>
        <w:jc w:val="both"/>
      </w:pPr>
      <w:proofErr w:type="spellStart"/>
      <w:r w:rsidRPr="00150FAA">
        <w:t>Чтохарактеризует</w:t>
      </w:r>
      <w:proofErr w:type="spellEnd"/>
      <w:r w:rsidRPr="00150FAA">
        <w:t xml:space="preserve"> КВД?</w:t>
      </w:r>
    </w:p>
    <w:p w:rsidR="00B45270" w:rsidRDefault="00B45270" w:rsidP="00B45270">
      <w:pPr>
        <w:jc w:val="center"/>
      </w:pPr>
    </w:p>
    <w:p w:rsidR="00184495" w:rsidRDefault="00B45270"/>
    <w:sectPr w:rsidR="0018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349A9"/>
    <w:multiLevelType w:val="hybridMultilevel"/>
    <w:tmpl w:val="18B2A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0"/>
    <w:rsid w:val="00105614"/>
    <w:rsid w:val="00915249"/>
    <w:rsid w:val="00B2276F"/>
    <w:rsid w:val="00B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B4527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452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B452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4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452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B45270"/>
    <w:pPr>
      <w:spacing w:line="360" w:lineRule="auto"/>
      <w:jc w:val="both"/>
    </w:pPr>
    <w:rPr>
      <w:color w:val="993300"/>
      <w:sz w:val="28"/>
    </w:rPr>
  </w:style>
  <w:style w:type="character" w:customStyle="1" w:styleId="32">
    <w:name w:val="Основной текст 3 Знак"/>
    <w:basedOn w:val="a0"/>
    <w:link w:val="31"/>
    <w:rsid w:val="00B45270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paragraph" w:customStyle="1" w:styleId="ConsNormal">
    <w:name w:val="ConsNormal"/>
    <w:rsid w:val="00B4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B452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45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next w:val="a4"/>
    <w:link w:val="a5"/>
    <w:qFormat/>
    <w:rsid w:val="00B4527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452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B452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4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452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B45270"/>
    <w:pPr>
      <w:spacing w:line="360" w:lineRule="auto"/>
      <w:jc w:val="both"/>
    </w:pPr>
    <w:rPr>
      <w:color w:val="993300"/>
      <w:sz w:val="28"/>
    </w:rPr>
  </w:style>
  <w:style w:type="character" w:customStyle="1" w:styleId="32">
    <w:name w:val="Основной текст 3 Знак"/>
    <w:basedOn w:val="a0"/>
    <w:link w:val="31"/>
    <w:rsid w:val="00B45270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paragraph" w:customStyle="1" w:styleId="ConsNormal">
    <w:name w:val="ConsNormal"/>
    <w:rsid w:val="00B4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B45270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B452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2020-06-18T06:48:00Z</dcterms:created>
  <dcterms:modified xsi:type="dcterms:W3CDTF">2020-06-18T06:50:00Z</dcterms:modified>
</cp:coreProperties>
</file>